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8C_392/2025 vom 8. Juli 2025</w:t>
      </w:r>
    </w:p>
    <w:p>
      <w:r>
        <w:t>Bundesgericht, 2025-07-08, DE</w:t>
      </w:r>
    </w:p>
    <w:p>
      <w:r>
        <w:rPr>
          <w:b/>
        </w:rPr>
        <w:t xml:space="preserve">Quelle: </w:t>
      </w:r>
      <w:r>
        <w:t>https://mcp.opencaselaw.ch/entscheid/bger_8C_392_2025</w:t>
      </w:r>
    </w:p>
    <w:p>
      <w:r>
        <w:t>FR: TF 8C_392/2025 du 8 juillet 2025</w:t>
      </w:r>
    </w:p>
    <w:p>
      <w:r>
        <w:t>IT: TF 8C_392/2025 del 8 luglio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3. Juni 2025 den Einspracheentscheid der Beschwerdegegnerin vom 7. März 2025. Demnach scheitert das Gesuch des Beschwerdeführers um Ausrichtung von Ergänzungsleistungen ab dem 1. Oktober 2021 am hierfür von ausländischen Staatsangehörigen geforderten ununterbrochenen Aufenthalt von zehn Jahren in der Schweiz gemäss Art. 5 ELG . Zu den vom Beschwerdeführer vorgetragenen Gründen für den diese Karenzfrist unterbrechenden Auslandsaufenthalt von September 2020 bis Januar 2021 führte das kantonale Gericht zusammenfassend aus, so bedauerlich die damalige Situation der vom Beschwerdeführer in dieser Zeit im Ausland gepflegten Mutter gewesen sei, ändere dies nichts daran, dass die Karenzfrist bei einem Auslandaufenthalt von mehr als drei Monaten rechtsprechungsgemäss als unterbrochen gelte. Ausnahmen seien nur dann zulässig, wenn der Hinderungsgrund an einer vorzeitigen Rückkehr zwingend auf krankheits- oder unfallbedingte Ursachen in der Person des Leistungsansprechers selber oder auf Tatbestände aus dem Bereich der höheren Gewalt zurückgeführt werden müssten, was vorliegend aber nicht zutreffe.</w:t>
      </w:r>
    </w:p>
    <w:p>
      <w:r>
        <w:rPr>
          <w:b/>
        </w:rPr>
        <w:t>E. 3</w:t>
      </w:r>
    </w:p>
    <w:p>
      <w:r>
        <w:t>Die letztinstanzlichen Vorbringen zielen in weiten Teilen an der Sache vorbei, da sie nicht den von der Vorinstanz für die Leistungsverweigerung massgeblichen Zeitraum September 2020 bis Januar 2021 beschlagen. Im Übrigen unterlässt es der Beschwerdeführer aufzuzeigen, inwiefern die diesen Zeitraum betreffenden vorinstanzlichen Feststellungen offensichtlich unrichtig (vgl. Art. 97 Abs. 1 BGG ) - mithin willkürlich ( BGE 146 IV 88 E. 1.3.1 f.; 140 III 115 E. 2; je mit Hinweisen) - oder sonstwie bundesrechtswidrig sein sollen. Ebenso wenig legt er dar, weshalb die darauf beruhenden Erwägungen gegen Bundesrecht verstossen oder einen anderen Beschwerdegrund (vgl. Art. 95 lit. a-e BGG ) gesetzt haben könnten. Allein auf die Gründe zu verweisen, welche zu einem Anspruch auf eine Invalidenrente nach IVG ab 1. Oktober 2021 geführt haben, reicht nicht aus. Im Übrigen können neue Tatsachen vor Bundesgericht nur soweit vorgebracht werden, als erst der Entscheid der Vorinstanz dazu Anlass gibt ( Art. 99 Abs. 1 BGG ), was in der Beschwerde näher darzulegen ist ( BGE 133 III 393 E. 3). Bei Tatsachen und Beweismitteln, welche die einlegende Partei bereits vor Vorinstanz hätte vortragen können und gestützt auf die ihr bei der Sachverhaltsermittlung obliegende, sich aus Treu und Glauben ( Art. 5 Abs. 3 BV ) ergebende Mitwirkungspflicht auch hätte vortragen müssen, ist es nicht das vorinstanzliche Urteil, das erstmals Anlass zu einem derartigen Vorbringen gibt. Entsprechende Eingaben finden letztinstanzlich keine Berücksichtigung.</w:t>
      </w:r>
    </w:p>
    <w:p>
      <w:r>
        <w:rPr>
          <w:b/>
        </w:rPr>
        <w:t>E. 4</w:t>
      </w:r>
    </w:p>
    <w:p>
      <w:r>
        <w:t>Erweist sich die Beschwerde als offensichtlich ungenügend begründet, kann das Rechtsmittel im vereinfachten Verfahren nach Art. 108 Abs. 1 lit. b BGG erledigt werden.</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