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8C_392/2021 vom 7. Juni 2021</w:t>
      </w:r>
    </w:p>
    <w:p>
      <w:r>
        <w:t>Bundesgericht, 2021-06-07, DE</w:t>
      </w:r>
    </w:p>
    <w:p>
      <w:r>
        <w:rPr>
          <w:b/>
        </w:rPr>
        <w:t xml:space="preserve">Quelle: </w:t>
      </w:r>
      <w:r>
        <w:t>https://mcp.opencaselaw.ch/entscheid/bger_8C_392_2021</w:t>
      </w:r>
    </w:p>
    <w:p>
      <w:r>
        <w:t>FR: TF 8C_392/2021 du 7 juin 2021</w:t>
      </w:r>
    </w:p>
    <w:p>
      <w:r>
        <w:t>IT: TF 8C_392/2021 del 7 giugno 2021</w:t>
      </w:r>
    </w:p>
    <w:p>
      <w:pPr>
        <w:pStyle w:val="Heading2"/>
      </w:pPr>
      <w:r>
        <w:t>Volltext</w:t>
      </w:r>
    </w:p>
    <w:p>
      <w:r>
        <w:t>Bundesgericht</w:t>
      </w:r>
    </w:p>
    <w:p>
      <w:r>
        <w:t>Tribunal fédéral</w:t>
      </w:r>
    </w:p>
    <w:p>
      <w:r>
        <w:t>Tribunale federale</w:t>
      </w:r>
    </w:p>
    <w:p>
      <w:r>
        <w:t>Tribunal federal</w:t>
      </w:r>
    </w:p>
    <w:p>
      <w:r>
        <w:t>8C_392/2021</w:t>
      </w:r>
    </w:p>
    <w:p>
      <w:r>
        <w:t>Urteil vom 7. Juni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das Urteil des Sozialversicherungsgerichts des Kantons Zürich vom 30. März 2021 (IV.2020.00070).</w:t>
      </w:r>
    </w:p>
    <w:p>
      <w:r>
        <w:t>Nach Einsicht</w:t>
      </w:r>
    </w:p>
    <w:p>
      <w:r>
        <w:t>in die Beschwerde vom 21. Mai 2021 (Poststempel) gegen das Urteil des Sozialversicherungsgerichts des Kantons Zürich vom 30. März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 136 I 65 E. 1.3.1 und 134 II 244 E. 2.1; vgl. auch BGE 140 III 86 E. 2 mit weiteren Hinweisen), während eine rein appellatorische Kritik nicht genügt ( BGE 145 I 26 E. 1.3; 145 IV 154 E. 1.1; je mit Hinweisen),</w:t>
      </w:r>
    </w:p>
    <w:p>
      <w:r>
        <w:t>dass das kantonale Gericht in Würdigung der Aktenlage und der Parteivorbringen zur Überzeugung gelangt ist, es sei für die Zeit seit der Renten abweisenden Verfügung vom 6. April 2016 bis zum 9. Januar 2020 (Entscheiddatum der Verwaltung über die Neuanmeldung zum Leistungsbezug am 19. Februar 2018) von einem im wesentlichen unverändert gebliebenen, sich gleich bleibend auf die Arbeitsunfähigkeit auswirkenden, Gesundheitszustand auszugehen,</w:t>
      </w:r>
    </w:p>
    <w:p>
      <w:r>
        <w:t>dass es daraus auf die Rechtmässigkeit der Verfügung der IV-Stelle vom 9. Januar 2020 schloss, mit welcher sie einen Leistungsanspruch des Beschwerdeführers verneinte,</w:t>
      </w:r>
    </w:p>
    <w:p>
      <w:r>
        <w:t>dass der Beschwerdeführer letztinstanzlich den Geschehensablauf seit der erstmaligen Neuanmeldung Ende Mai 2014 wie auch seine Lebensumstände näher erörtert, ohne indessen auf die vorinstanzlichen Erwägungen näher einzugehen und dabei aufzuzeigen, inwiefern die dort getroffenen Sachverhaltsfeststellungen offensichtlich unrichtig im Sinne von Art. 97 Abs. 1 BGG , sprich willkürlich ( BGE 146 IV 88 E. 1.3.1; 140 III 115 E. 2; je mit Hinweisen) und die darauf beruhenden Erwägungen rechtsfehlerhaft sein sollen,</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7. Juni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