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392/2010 vom 21. Dezember 2010</w:t>
      </w:r>
    </w:p>
    <w:p>
      <w:r>
        <w:t>Bundesgericht, 2010-12-21, FR</w:t>
      </w:r>
    </w:p>
    <w:p>
      <w:r>
        <w:rPr>
          <w:b/>
        </w:rPr>
        <w:t xml:space="preserve">Quelle: </w:t>
      </w:r>
      <w:r>
        <w:t>https://mcp.opencaselaw.ch/entscheid/bger_8C_392_2010</w:t>
      </w:r>
    </w:p>
    <w:p>
      <w:r>
        <w:t>FR: TF 8C 392/2010 du 21 décembre 2010</w:t>
      </w:r>
    </w:p>
    <w:p>
      <w:r>
        <w:t>IT: TF 8C 392/2010 del 21 dicembre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sans être limité par les arguments de la partie recourante ou par la motivation de l'autorité précédente. Eu égard à l'exigence de motivation prévue à l' art. 42 al. 1 et 2 LTF , il n'examine que les griefs invoqués, pour autant que les vices ne soient pas évidents. Il n'est pas tenu de traiter toutes les questions juridiques qui se posent, comme le ferait une autorité de première instance, lorsque celles-ci ne sont pas ou plus abordées devant lui. Le Tribunal fédéral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w:t>
      </w:r>
    </w:p>
    <w:p>
      <w:r>
        <w:rPr>
          <w:b/>
        </w:rPr>
        <w:t>E. 2</w:t>
      </w:r>
    </w:p>
    <w:p>
      <w:r>
        <w:t>Le jugement entrepris expose correctement les dispositions légales et la jurisprudence sur la notion d'invalidité et son évaluation ainsi que les principes jurisprudentiels relatifs à la valeur probante des rapports médicaux. Il suffit donc d'y renvoyer.</w:t>
      </w:r>
    </w:p>
    <w:p>
      <w:r>
        <w:rPr>
          <w:b/>
        </w:rPr>
        <w:t>E. 3</w:t>
      </w:r>
    </w:p>
    <w:p>
      <w:r>
        <w:t>Les premiers juges ont examiné la situation médicale du recourant prévalant au moment de la première décision de refus de la rente, puis son évolution jusqu'à la date de la décision litigieuse. Pour ce faire, ils se sont fondés, notamment, sur le rapport des experts de la Clinique X.________, plus spécialement sur celui de la doctoresse C.________, spécialiste en médecine physique, rééducation et rhumatologie et du docteur A.________, spécialiste en psychiatrie et pychothérapie. Ils ont estimé que les atteintes physiques décrites par les experts correspondaient à celles présentes depuis 2001. Par ailleurs, ils ont considéré que l'évolution du dossier médical faisait apparaître un glissement lent, mais certain, de troubles d'origine physique vers une problématique psychique. Ils ont repris à leur compte les conclusions du docteur A.________ selon lesquelles il n'existait aucun diagnostic ayant une répercussion sur la capacité de travail sous l'angle psychique. D'un point de vue global, ils ont estimé que l'état de santé de l'assuré ne s'était ainsi pas fondamentalement modifié depuis la décision du 21 juin 2005, ni sous l'angle physique ni sous l'angle psychique. Les premiers juges ont entériné les conclusions des médecins du COMAI selon lesquelles l'assuré disposait d'une capacité de travail de 80 % dans une activité adaptée excluant les positions statiques assises ou debout prolongées, particulièrement la tête penchée en avant, les travaux physiquement lourds, les travaux lourds impliquant les bras levés au-dessus de l'horizontale, le port itératif de charges supérieures à 15-20 kilos, les mouvements itératifs mettant fortement à contribution le rachis en flexion/extension/rotation du tronc, les travaux sur des échelles ou des échafaudages.</w:t>
      </w:r>
    </w:p>
    <w:p>
      <w:r>
        <w:rPr>
          <w:b/>
        </w:rPr>
        <w:t>E. 4</w:t>
      </w:r>
    </w:p>
    <w:p>
      <w:r>
        <w:t>La juridiction cantonale s'est interrogée sur la question de savoir si cette modification (diminution de rendement de 20 %) influençait le calcul du degré d'invalidité au point d'ouvrir le droit à une rente. Procédant à une comparaison des revenus, elle a fixé le degré d'invalidité du recourant à 39 %. La juridiction cantonale en a conclu que l'assuré n'avait pas droit à une rente d'invalidité. Elle a donc confirmé le bien-fondé de la décision de refus de rente de l'OAI et rejeté toutes les conclusions de l'assuré (mise en oeuvre d'une contre-expertise, octroi d'une mesure d'observation professionnelle, prise en charge d'un traitement psychiatrique et psychothérapeutique).</w:t>
      </w:r>
    </w:p>
    <w:p>
      <w:r>
        <w:rPr>
          <w:b/>
        </w:rPr>
        <w:t>E. 5.1</w:t>
      </w:r>
    </w:p>
    <w:p>
      <w:r>
        <w:t>Le recourant se plaint d'une violation de l' art. 61 let . c LPGA selon lequel le juge établit les faits déterminants pour la solution du litige, administre les preuves nécessaires et les apprécie librement. Plus précisément, il fait grief à la juridiction cantonale d'avoir constaté que son psychiatre traitant, le docteur M.________, avait évoqué dans ses différents rapports des diagnostics nouveaux, décelés en 2005, sans qu'elle les prenne en considération pour différents motifs qu'il estime infondés. Faisant valoir que le juge des assurances sociales procède selon la maxime d'office et la maxime inquisitoriale, il allègue que les premiers juges ne pouvaient se contenter de constater que les preuves qu'il avait apportées manquaient de substance ou de motivation. Selon lui, ils auraient dû instruire la cause, soit, par exemple, en la renvoyant à l'administration pour qu'elle complète l'instruction, soit en interrogeant le médecin par écrit sur les motifs ayant conduit ce dernier à retenir un taux de capacité différent de celui des experts, ou encore en convoquant le psychiatre traitant à une audience pour lui poser des questions.</w:t>
      </w:r>
    </w:p>
    <w:p>
      <w:r>
        <w:rPr>
          <w:b/>
        </w:rPr>
        <w:t>E. 5.2</w:t>
      </w:r>
    </w:p>
    <w:p>
      <w:r>
        <w:t>Ce grief n'est pas fondé. Les premiers juges se sont appuyés sur un dossier médical bien étayé et une expertise du COMAI convaincante. Ils disposaient de tous les éléments requis pour statuer sur l'évaluation de l'invalidité du recourant et pouvaient s'abstenir d'administrer des preuves complémentaires.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A cet égard, il convient de rappeler qu'au vu de la divergence consacrée par la jurisprudence entre un mandat thérapeutique et un mandat d'expertise ( ATF 124 I 170 consid. 4 p. 175; arrêt 9C_882/2008 du 29 octobre 2009 consid. 2.2, in SVR 2010 IV no 15 p. 46 et les arrêts cités),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En l'espèce, on doit admettre que de tels éléments n'existent pas.</w:t>
      </w:r>
    </w:p>
    <w:p>
      <w:r>
        <w:rPr>
          <w:b/>
        </w:rPr>
        <w:t>E. 6.1</w:t>
      </w:r>
    </w:p>
    <w:p>
      <w:r>
        <w:t>Le recourant se plaint ensuite d'une violation du principe de l'égalité des armes. Il soulève trois arguments à cet égard. Il fait valoir tout d'abord que les appréciations et avis de la Clinique X.________ sont contestables dans leur ensemble, dès lors qu'ils sont critiqués par le docteur M.________, spécialiste expérimenté, lequel déclare expressément qu'il « ne partage pas le rapport de l'expert qui affirme ne pas constater de diagnostic psychiatrique » (rapport du 20 août 2008). Ce premier argument tombe à faux. En effet, comme on l'a vu plus haut, le seul fait qu'un médecin traitant ne partage pas l'opinion des experts ne suffit pas pour remettre en cause les conclusions d'une expertise interdisciplinaire. Le recourant rappelle également qu'une expertise doit être mise en oeuvre lorsque les rapports du médecin traitant laissent subsister des doutes, mêmes faibles, quant à la fiabilité et la pertinence des constatations médicales effectuées par les médecins de l'assurance (cf. ATF 135 V 465 ). La situation du recourant n'est toutefois pas comparable à celle visée par l' ATF 135 V 465 . Dans cet arrêt en effet,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oeuvre une expertise par un médecin indépendant selon la procédure de l' art. 44 LPGA ou une expertise judiciaire. En l'espèce, les experts de la Clinique X.________ ne sauraient être assimilés à des médecins internes à l'assurance. Ce deuxième argument tombe également à faux. Le recourant soutient encore qu'il est inexact de prétendre, comme l'aurait fait la juridiction cantonale, que la jurisprudence constante ordonnerait d'écarter les constatations du médecin traitant. En réalité, les premiers juges ont considéré que l'avis du psychiatre traitant devait être apprécié de façon prudente, compte tenu du lien particulier qui l'unit à son patient. La juridiction cantonale ne s'est toutefois pas contentée de cette considération d'ordre général. Elle a pris en compte les rapports du psychiatre traitant dans une appréciation globale de leur valeur probante. Elle a expliqué les raisons pour lesquelles elle ne pouvait le suivre (étroitesse du lien avec le patient, absence d'un avis motivé s'agissant de la capacité de travail, omission par le psychiatre traitant de répondre à une question du mandataire relative à la prise régulière des médicaments prescrits, manque de précision quant au suivi du traitement depuis 2006, mention par les experts d'un dosage insuffisant des antidépresseurs, abaissement du rythme de la psychothérapie à une séance mensuelle). Ce troisième argument n'est donc pas plus fondé que les précédents.</w:t>
      </w:r>
    </w:p>
    <w:p>
      <w:r>
        <w:rPr>
          <w:b/>
        </w:rPr>
        <w:t>E. 7.1</w:t>
      </w:r>
    </w:p>
    <w:p>
      <w:r>
        <w:t>Le recourant invoque enfin l'arbitraire du jugement entrepris. Il fait valoir qu'en présence d'une augmentation du degré d'invalidité de 17 % à 39 % et d'un rapport d'expertise émanant d'une clinique dont l'indépendance n'était peut-être pas certaine, les premiers juges devaient redoubler de prudence. Il estime que le refus de poursuivre l'instruction alors qu'il l'a demandé est arbitraire dans une « cause limite comme celle-là ».</w:t>
      </w:r>
    </w:p>
    <w:p>
      <w:r>
        <w:rPr>
          <w:b/>
        </w:rPr>
        <w:t>E. 7.2</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arrêt 9C_764/2009 du 26 mars 2010 consid. 3.2, in SVR 2010 IV no 55 p. 169). Il résulte des considérants précédents que les premiers juges ont dûment motivé leur choix de s'en s'en tenir aux conclusions des médecins du COMAI plutôt qu'à celles du psychiatre traitant. On ne saurait donc retenir une appréciation arbitraire des preuves.</w:t>
      </w:r>
    </w:p>
    <w:p>
      <w:r>
        <w:rPr>
          <w:b/>
        </w:rPr>
        <w:t>E. 8</w:t>
      </w:r>
    </w:p>
    <w:p>
      <w:r>
        <w:t>Il s'ensuit qu'en niant le droit de S.________ à une rente d'invalidité au motif que l'état de santé de l'intéressé ne s'était pas aggravé dans un mesure suffisante, la juridiction cantonale n'a pas violé le droit fédéral, étant précisé que le prénommé n'a adressé aucune critique sur les autres aspects du jugement entrepris, notamment l'appréciation de ses limitations physiques et l'évaluation proprement dite de son invalidité.</w:t>
      </w:r>
    </w:p>
    <w:p>
      <w:r>
        <w:rPr>
          <w:b/>
        </w:rPr>
        <w:t>E. 9</w:t>
      </w:r>
    </w:p>
    <w:p>
      <w:r>
        <w:t>Vu ce qui précède, le recours doit être rejeté. Le recours était par ailleurs d'emblée dénué de chance de succès, si bien que la requête d'assistance judiciaire doit être rejetée ( art. 64 al. 1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