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8C_391/2007 vom 26. Mai 2008</w:t>
      </w:r>
    </w:p>
    <w:p>
      <w:r>
        <w:t>Bundesgericht, 2008-05-26, FR</w:t>
      </w:r>
    </w:p>
    <w:p>
      <w:r>
        <w:rPr>
          <w:b/>
        </w:rPr>
        <w:t xml:space="preserve">Quelle: </w:t>
      </w:r>
      <w:r>
        <w:t>https://mcp.opencaselaw.ch/entscheid/bger_8C_391_2007</w:t>
      </w:r>
    </w:p>
    <w:p>
      <w:r>
        <w:t>FR: TF 8C_391/2007 du 26 mai 2008</w:t>
      </w:r>
    </w:p>
    <w:p>
      <w:r>
        <w:t>IT: TF 8C_391/2007 del 26 maggio 2008</w:t>
      </w:r>
    </w:p>
    <w:p>
      <w:pPr>
        <w:pStyle w:val="Heading2"/>
      </w:pPr>
      <w:r>
        <w:t>Erwägungen</w:t>
      </w:r>
    </w:p>
    <w:p>
      <w:r>
        <w:rPr>
          <w:b/>
        </w:rPr>
        <w:t>E. 1</w:t>
      </w:r>
    </w:p>
    <w:p>
      <w:r>
        <w:t>Le litige porte exclusivement sur le montant de l'indemnité allouée à Me P.________ pour son mandat d'office, le jugement entrepris n'étant pas contesté sur le fond. Nonobstant son intitulé, le recours est recevable à titre de recours en matière de droit public, le jugement entrepris étant une décision finale ( art. 90 LTF ) rendue dans une cause de droit public ( art. 82 let. a LTF ), sans que l'on se trouve dans l'un des cas d'exception mentionnés à l' art. 83 LTF .</w:t>
      </w:r>
    </w:p>
    <w:p>
      <w:r>
        <w:rPr>
          <w:b/>
        </w:rPr>
        <w:t>E. 2.1</w:t>
      </w:r>
    </w:p>
    <w:p>
      <w:r>
        <w:t>Le recourant soulève le grief de violation de son droit d'être entendu; il soutient que le jugement entrepris n'est pas suffisamment motivé sur la question de l'indemnité allouée à l'avocat d'office. Bien que le grief ne soit invoqué qu'à titre subsidiaire, il convient de le traiter en premier lieu, compte tenu du caractère formel du droit d'être entendu, dont une violation conduit en règle générale à l'annulation du jugement entrepris sans examen du litige sur le fond (cf. ATF 132 V 387 consid. 5.1 p. 390; 127 V 431 consid. 3d/aa p. 437).</w:t>
      </w:r>
    </w:p>
    <w:p>
      <w:r>
        <w:rPr>
          <w:b/>
        </w:rPr>
        <w:t>E. 2.2</w:t>
      </w:r>
    </w:p>
    <w:p>
      <w:r>
        <w:t>Dès lors que le recourant n'invoque aucune disposition de droit cantonal relative au droit d'être entendu, il convient de limiter l'examen du grief soulevé à la violation de l' art. 29 al. 2 Cst. La jurisprudence a déduit du droit d'être entendu, tel que garanti par cette disposition, celui d'obtenir une décision motivée. Le destinataire de la décision et toute personne intéressée doit pouvoir la comprendre et l'attaquer utilement en connaissance de cause s'il y a lieu, et l'instance de recours doit pouvoir exercer pleinement son contrôle si elle est saisie ( ATF 129 I 232 consid. 3.2 p. 236; 126 I 15 consid. 2a/aa p. 16 sv.). Le juge n'est toutefois pas toujours tenu de motiver la décision par laquelle il fixe le montant des dépens alloués à une partie obtenant totalement ou partiellement gain de cause dans un procès, ou l'indemnité allouée à l'avocat d'office.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111 Ia 1 ; SVR 2000 IV n. 11 p. 31 [I 308/98] consid. 3).</w:t>
      </w:r>
    </w:p>
    <w:p>
      <w:r>
        <w:rPr>
          <w:b/>
        </w:rPr>
        <w:t>E. 2.3</w:t>
      </w:r>
    </w:p>
    <w:p>
      <w:r>
        <w:t>Me P.________ n'a produit aucune note de frais en instance cantonale et n'allègue pas que les premiers juges auraient dérogé à une pratique bien établie. Il n'a pas fait valoir de circonstance extraordinaire, ni ne soutient que la juridiction cantonale se serait écartée d'un tarif ou d'une règle légale cantonale fixant des minima et maxima. Ce n'est d'ailleurs manifestement pas le cas, compte tenu des art. 29 al. 1 et 40 al. 1 de la loi cantonale fixant le tarif des frais et dépens devant les autorités judiciaires ou administratives, du 14 mai 1998 (LTar; RS/VS 173.8), auxquels fait référence le jugement entrepris. Le grief formel soulevé par le recourant est donc mal fondé.</w:t>
      </w:r>
    </w:p>
    <w:p>
      <w:r>
        <w:rPr>
          <w:b/>
        </w:rPr>
        <w:t>E. 3.1</w:t>
      </w:r>
    </w:p>
    <w:p>
      <w:r>
        <w:t>Le recourant soutient que la juridiction cantonale a fixé l'indemnité litigieuse de manière arbitraire. Il allègue avoir consacré utilement au moins treize heures à la défense d'office de A.________ et J.________ K.________, de sorte que le montant de 900 fr. alloué à titre d'honoraires (auxquels se sont ajoutés 50 fr. de débours) correspond à un tarif horaire de 70 fr., manifestement insuffisant. Le recourant demande que lui soient alloués 2'340 fr. à titre d'honoraires, soit un tarif horaire de 180 fr. pour treize heures de travail, plus un montant de 50 fr. pour les débours.</w:t>
      </w:r>
    </w:p>
    <w:p>
      <w:r>
        <w:rPr>
          <w:b/>
        </w:rPr>
        <w:t>E. 3.2</w:t>
      </w:r>
    </w:p>
    <w:p>
      <w:r>
        <w:t>L'avocat d'office accomplit une tâche étatique régie par le droit public cantonal. Lors de sa désignation, il s'établit, entre l'avocat et l'Etat, un rapport juridique spécial en vertu duquel l'avocat a contre l'Etat une prétention de droit public à être rétribué dans le cadre des prescriptions cantonales applicables ( ATF 117 Ia 22 consid. 4a p. 23). L'autorité dispose à cet égard d'un large pouvoir d'appréciation : le Tribunal fédéral n'intervient que si l'indemnité a été fixée de manière arbitraire, ou en cas d'excès ou d'abus de ce pouvoir d'appréciation ( ATF 118 Ia 133 consid. 2b p. 134 sv.). L'avocat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117 Ia 22 consid. 3a).</w:t>
      </w:r>
    </w:p>
    <w:p>
      <w:r>
        <w:t>A condition d'être équitable, il est admis que la rémunération de l'avocat d'office puisse être inférieure à celle du mandataire privé. Mais elle doit couvrir les frais généraux de l'avocat et lui permettre d'obtenir un revenu qui ne soit pas uniquement symbolique. La jurisprudence considère ainsi que l'indemnité allouée à l'avocat d'office devrait en principe correspondre à une rémunération horaire de 180 fr. (TVA non comprise), sous réserve de circonstances particulières liées notamment aux charges fixes plus ou moins élevées suivant le canton dans lequel pratique l'avocat concerné ( ATF 132 I 201 consid. 7 et 8 p. 205 ss; l'arrêt portait sur la législation du canton d'Argovie). Par la suite, le Tribunal fédéral a confirmé ce montant pour les cantons de Fribourg et Glaris (arrêts 2P.326/2006 du 10 juillet 2007 et 2P.76/2005 du 27 juin 2006), comparables de ce point de vue au canton du Valais.</w:t>
      </w:r>
    </w:p>
    <w:p>
      <w:r>
        <w:rPr>
          <w:b/>
        </w:rPr>
        <w:t>E. 3.3.1</w:t>
      </w:r>
    </w:p>
    <w:p>
      <w:r>
        <w:t>La juridiction cantonale a fixé l'indemnité allouée au recourant en se fondant sur l'art. 40 LTar, qui prévoit l'allocation de dépens de 500 fr. à 10'000 fr. dans les causes soumises au Tribunal cantonal dans le domaine du droit des assurances sociales. Elle est partie d'un montant de 1'500 fr. (TVA comprise : art. 26 al. 3 LTar), dont elle n'a pris en considération que le 60 % (900 fr.) pour tenir compte de la réduction prévue par l'art. 29 al. 1 LTar en cas d'assistance judiciaire. Les premiers juges n'ont pas précisé à combien d'heures ils estimaient le temps consacré par le recourant pour son mandat d'office. Toutefois, si l'on prend en considération une rémunération horaire de 180 fr. au moins, le montant de 900 fr. alloué par les premiers juges correspond, après déduction de la TVA, à moins de cinq heures de travail.</w:t>
      </w:r>
    </w:p>
    <w:p>
      <w:r>
        <w:rPr>
          <w:b/>
        </w:rPr>
        <w:t>E. 3.3.2</w:t>
      </w:r>
    </w:p>
    <w:p>
      <w:r>
        <w:t>Le recourant défendait deux parties devant la juridiction cantonale. Il n'avait pas été mandaté pour la procédure administrative devant la CIVAF, de sorte qu'il n'avait pas une connaissance préalable du dossier. Son activité a notamment nécessité de rencontrer ses clients, d'étudier le dossier et de déposer un mémoire de recours de huit pages. Elle a également consisté en une demande d'assistance judiciaire complétée d'un bordereau de quatorze pièces, pour la collecte desquelles le recourant a d'ailleurs dû demander un délai supplémentaire au Tribunal cantonal. Le recourant a encore dû étudier la réponse de la CIVAF - qui apportait un complément utile de motivation à la décision administrative litigieuse, d'après la juridiction cantonale -, et se rendre au greffe du tribunal pour consulter les pièces produites par l'intimée. Enfin, il a dû prendre connaissance du jugement entrepris et étudier avec ses clients l'opportunité d'un éventuel recours. Même si chacune de ces démarches n'a pas forcément nécessité beaucoup de temps, une rémunération de 900 fr., correspondant à moins de cinq heures de travail au total, ne résiste pas au grief d'arbitraire soulevé par le recourant.</w:t>
      </w:r>
    </w:p>
    <w:p>
      <w:r>
        <w:t>Bien que Me P.________ demande au Tribunal fédéral de fixer lui-même le montant de l'indemnité, il convient de renvoyer la cause à la juridiction cantonale pour qu'elle statue à nouveau dans la mesure de son pouvoir d'appréciation. Un tel renvoi paraît d'autant plus opportun que le recourant semble avoir défendu J.________ K.________ dans une autre affaire, éventuellement connexe à celle qui a été soumise aux premiers juges. Cette circonstance, sans être de nature à justifier de limiter à 900 fr. les honoraires alloués au recourant, pourrait avoir une influence sur le montant de l'indemnité pour autant que les deux affaires soient effectivement liée.</w:t>
      </w:r>
    </w:p>
    <w:p>
      <w:r>
        <w:rPr>
          <w:b/>
        </w:rPr>
        <w:t>E. 4</w:t>
      </w:r>
    </w:p>
    <w:p>
      <w:r>
        <w:t>Vu le sort de ses conclusions, le recourant peut prétendre une indemnité de dépens à la charge de l'Etat du Valais ( art. 68 al. 3 LTF ). Il n'y a en revanche pas lieu de percevoir de frais de justice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