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8C_390/2023 vom 16. Juni 2023</w:t>
      </w:r>
    </w:p>
    <w:p>
      <w:r>
        <w:t>Bundesgericht, 2023-06-16, DE</w:t>
      </w:r>
    </w:p>
    <w:p>
      <w:r>
        <w:rPr>
          <w:b/>
        </w:rPr>
        <w:t xml:space="preserve">Quelle: </w:t>
      </w:r>
      <w:r>
        <w:t>https://mcp.opencaselaw.ch/entscheid/bger_8C_390_2023</w:t>
      </w:r>
    </w:p>
    <w:p>
      <w:r>
        <w:t>FR: TF 8C_390/2023 du 16 juin 2023</w:t>
      </w:r>
    </w:p>
    <w:p>
      <w:r>
        <w:t>IT: TF 8C_390/2023 del 16 giugno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im angefochtenen Urteil vom 29. März 2023 die von der Beschwerdegegnerin gestützt auf Art. 30 Abs. 1 lit. c und Abs. 3 AVIG in Verbindung mit Art. 26 Abs. 2 und Art. 45 Abs. 3 AVIV vorgenommene Einstellung in der Anspruchsberechtigung auf Arbeitslosentaggelder von 16 Tagen. Dabei setzte sie sich einlässlich mit den Parteivorbringen auseinander und legte in Würdigung der Akten insbesondere dar, weshalb die vorgelegten ärztlichen Bescheinigungen nicht zum Nachweis ausreichten, dass die Beschwerdeführerin vor dem 12. März 2022 ausser Stande gewesen sein soll, die Belege ihrer Arbeitsbemühungen in einem Briefumschlag in den nächstgelegenen Briefkasten einzuwerfen oder der RAV-Beraterin zu mailen. Dies führte zur Bestätigung der von der Beschwerdegegnerin verfügten Einstellung in der Anspruchsberechtigung mangels (zeitgerecht) nachgewiesener Arbeitsbemühungen.</w:t>
      </w:r>
    </w:p>
    <w:p>
      <w:r>
        <w:rPr>
          <w:b/>
        </w:rPr>
        <w:t>E. 3</w:t>
      </w:r>
    </w:p>
    <w:p>
      <w:r>
        <w:t>Die Beschwerdeführerin setzt sich mit dieser entscheidwesentlichen Erwägung nicht hinreichend auseinander. Nebst neuerlicher Berufung auf dieselben, von der Vorinstanz bereits gewürdigten, Arztberichte thematisiert sie ausserhalb davon Liegendes. Damit ist den gemäss E. 1 hievor gebotenen Mindestanforderungen an eine Beschwerdebegründung nicht Genüge getan. Das gleichzeitig gestellte Gesuch um Beigabe eines unentgeltlichen Rechtsvertreters entbindet nicht von der Pflicht, innert der nicht erstreckbaren Rechtsmittelfrist eine den eingangs aufgezeigten Mindestanforderungen genügende Beschwerde einzureichen (Urteile 8C_561/2021 vom 29. September 2021 und 6B_436/2021 vom 23. August 2021 E. 4 und 6B_1154/2020 vom 21. Oktober 2020 E. 3).</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