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390/2015 vom 24. September 2015</w:t>
      </w:r>
    </w:p>
    <w:p>
      <w:r>
        <w:t>Bundesgericht, 2015-09-24, DE</w:t>
      </w:r>
    </w:p>
    <w:p>
      <w:r>
        <w:rPr>
          <w:b/>
        </w:rPr>
        <w:t xml:space="preserve">Quelle: </w:t>
      </w:r>
      <w:r>
        <w:t>https://mcp.opencaselaw.ch/entscheid/bger_8C_390_2015</w:t>
      </w:r>
    </w:p>
    <w:p>
      <w:r>
        <w:t>FR: TF 8C 390/2015 du 24 septembre 2015</w:t>
      </w:r>
    </w:p>
    <w:p>
      <w:r>
        <w:t>IT: TF 8C 390/2015 del 24 settembre 2015</w:t>
      </w:r>
    </w:p>
    <w:p>
      <w:pPr>
        <w:pStyle w:val="Heading2"/>
      </w:pPr>
      <w:r>
        <w:t>Regeste</w:t>
      </w:r>
    </w:p>
    <w:p>
      <w:r>
        <w:t>Unfallversicherung (Fallabschluss)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140 V 136 E. 1.1 S. 137 f.).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entschieden, die SUVA habe aus dem Unfall vom 15. Oktober 2012 Taggeld und Heilbehandlung nicht nur bis 24. September resp. 31. Oktober 2013, sondern bis 31. Dezember 2013 zu leisten. Gegen diese Verschiebung des Fallabschlusses richtet sich die Beschwerde des Unfallversicherers.</w:t>
      </w:r>
    </w:p>
    <w:p>
      <w:r>
        <w:rPr>
          <w:b/>
        </w:rPr>
        <w:t>E. 3</w:t>
      </w:r>
    </w:p>
    <w:p>
      <w:r>
        <w:t>Gemäss der im angefochtenen Entscheid zutreffend dargestellten Gesetzesregelung und Praxis ist der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(IV) abgeschlossen sind ( Art. 19 Abs. 1 UVG ; BGE 134 V 109 E. 3 und 4 S. 112 ff.; vgl. auch BGE 137 V 199 E. 2.1 S. 201 f.).</w:t>
      </w:r>
    </w:p>
    <w:p>
      <w:r>
        <w:rPr>
          <w:b/>
        </w:rPr>
        <w:t>E. 4</w:t>
      </w:r>
    </w:p>
    <w:p>
      <w:r>
        <w:t>Die Beschwerde führende SUVA macht in formeller Hinsicht geltend, das kantonale Gericht hätte sich mit dem Anspruch auf Heilbehandlung und Taggeld gar nicht befassen dürfen, da dieser nicht Gegenstand des Einspracheentscheides gebildet habe. Der Einwand ist nicht stichhaltig. Die SUVA hat in der Verfügung vom 28. Oktober 2013 den Anspruch auf eine Invalidenrente und auf eine Integritätsentschädigung geprüft und verneint. Damit hat sie auch die zuvor formlos eröffnete Einstellung der vorübergehenden Leistungen bestätigt. Einspracheweise beantragte der Versicherte hierauf weiteres Taggeld, wobei er auf hängige medizinische Abkärungen und eine bevorstehende Operation verwies. Im Einspracheentscheid vom 13. Januar 2014 erkannte die SUVA dann ausdrücklich, im Zeitpunkt der Rentenprüfung sei der medizinische Endzustand erreicht gewesen, und verneinte einen weiteren Taggeldanspruch. Der Zeitpunkt des Fallabschlusses unter Einstellung der vorübergehenden Leistungen bildete mithin bereits Gegenstand des Einspracheverfahrens.</w:t>
      </w:r>
    </w:p>
    <w:p>
      <w:r>
        <w:rPr>
          <w:b/>
        </w:rPr>
        <w:t>E. 5</w:t>
      </w:r>
    </w:p>
    <w:p>
      <w:r>
        <w:t>Allfällige Eingliederungsmassnahmen der IV stehen hier nicht zur Diskussion. Streitig ist, bis zu welchem Zeitpunkt von der Fortsetzung der ärztlichen Behandlung eine namhafte gesundheitliche Besserung zu erwarten war. Die SUVA vertritt die Auffassung, gestützt auf den Austrittsbericht der Rehaklinik B.________ vom 5. August 2013 und die kreisärztliche Stellungnahme vom 23. September 2013 habe eine solche Besserung verlässlich verneint und daher der Fall abgeschlossen werden können. Das kantonale Gericht ist zum Ergebnis gelangt, erst aufgrund der nach den besagten Berichten getroffenen Abklärungen und deren Ergebnisse habe der Fall abgeschlossen werden dürfen. Die SUVA macht geltend, die ergänzenden Abklärungen rechtfertigten keinen späteren Fallabschluss. Der Einwand ist begründet. Massgeblich ist, ob von einer Fortsetzung der ärztlichen Behandlung eine namhafte Besserung des Gesundheitszustandes erwartet werden konnte. Den medizinischen Akten lässt sich nicht entnehmen, dass die ergänzenden Abklärungen resp. die Behandlungsmassnahmen, welche je nach deren Ergebnis allenfalls indiziert gewesen wären, eine solche Besserung erwarten liessen. Die Ergebnisse der Abklärungen stützten sodann die Einschätzungen gemäss den früheren medizinischen Berichten. Indem das kantonale Gericht trotz fehlender Anhaltspunkte für eine noch zu erwartende namhafte Besserung auf einen späteren Fallabschluss erkannte, entschied es bundesrechtswidrig. Die Beschwerde ist gutzuheissen.</w:t>
      </w:r>
    </w:p>
    <w:p>
      <w:r>
        <w:rPr>
          <w:b/>
        </w:rPr>
        <w:t>E. 6</w:t>
      </w:r>
    </w:p>
    <w:p>
      <w:r>
        <w:t>Die Kosten des Verfahrens sind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