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8C_389/2025 vom 4. August 2025</w:t>
      </w:r>
    </w:p>
    <w:p>
      <w:r>
        <w:t>Bundesgericht, 2025-08-04, FR</w:t>
      </w:r>
    </w:p>
    <w:p>
      <w:r>
        <w:rPr>
          <w:b/>
        </w:rPr>
        <w:t xml:space="preserve">Quelle: </w:t>
      </w:r>
      <w:r>
        <w:t>https://mcp.opencaselaw.ch/entscheid/bger_8C_389_2025</w:t>
      </w:r>
    </w:p>
    <w:p>
      <w:r>
        <w:t>FR: TF 8C_389/2025 du 4 août 2025</w:t>
      </w:r>
    </w:p>
    <w:p>
      <w:r>
        <w:t>IT: TF 8C_389/2025 del 4 agosto 2025</w:t>
      </w:r>
    </w:p>
    <w:p>
      <w:pPr>
        <w:pStyle w:val="Heading2"/>
      </w:pPr>
      <w:r>
        <w:t>Erwägungen</w:t>
      </w:r>
    </w:p>
    <w:p>
      <w:r>
        <w:rPr>
          <w:b/>
        </w:rPr>
        <w:t>E. 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137 II 353 consid. 6.1; 136 II 101 consid. 3).</w:t>
      </w:r>
    </w:p>
    <w:p>
      <w:r>
        <w:rPr>
          <w:b/>
        </w:rPr>
        <w:t>E. 3</w:t>
      </w:r>
    </w:p>
    <w:p>
      <w:r>
        <w:t>Après avoir relevé que le recourant ne contestait pas avoir remis ses recherches d'emploi du mois de juin 2024 tardivement, la cour cantonale a retenu que celui-ci ne pouvait pas se prévaloir d'un empêchement non fautif d'agir. Outre qu'une opération de maintenance sur la plateforme Job-room à la fin juin 2024, au moment même où il avait tenté d'envoyer ses recherches d'emploi, n'était pas établie, le recourant n'avait pas fait preuve de la réactivité qu'on était en droit d'attendre de lui. En effet, à cette date, il lui était encore possible de transmettre ses recherches d'emploi à temps par courriel, par courrier ou en déposant sa liste en mains propres à l'Office régional de placement (ORP). Le recourant ne pouvait pas se plaindre d'un manque d'information à cet égard, puisque ce n'était pas la première fois qu'il était inscrit au chômage. Enfin, ses allégations, selon lesquelles le conseiller en placement lui aurait indiqué que la plateforme Job-room était le seul moyen par lequel soumettre le formulaire à l'ORP, n'étaient pas étayées. Cela étant, la cour cantonale a jugé que la sanction était justifiée dans son principe et que l'intimée avait pris en considération l'ensemble des circonstances pour en fixer la quotité. En l'occurrence, dans son écriture, le recourant se borne à répéter les mêmes arguments qu'il a fait valoir devant la cour cantonale et auxquels celle-ci a répondu de manière exhaustive. Ce faisant, il ne démontre pas, conformément aux exigences de l' art. 42 al. 1 et 2 LTF , en quoi la cour cantonale aurait constaté les faits pertinents de façon manifestement inexacte, ni en quoi elle aurait violé le droit. Partant, le recours doit être déclaré irrecevable.</w:t>
      </w:r>
    </w:p>
    <w:p>
      <w:r>
        <w:rPr>
          <w:b/>
        </w:rPr>
        <w:t>E. 4</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