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8C_388/2017 vom 6. Februar 2018</w:t>
      </w:r>
    </w:p>
    <w:p>
      <w:r>
        <w:t>Bundesgericht, 2018-02-06, FR</w:t>
      </w:r>
    </w:p>
    <w:p>
      <w:r>
        <w:rPr>
          <w:b/>
        </w:rPr>
        <w:t xml:space="preserve">Quelle: </w:t>
      </w:r>
      <w:r>
        <w:t>https://mcp.opencaselaw.ch/entscheid/bger_8C_388_2017</w:t>
      </w:r>
    </w:p>
    <w:p>
      <w:r>
        <w:t>FR: TF 8C_388/2017 du 6 février 2018</w:t>
      </w:r>
    </w:p>
    <w:p>
      <w:r>
        <w:t>IT: TF 8C_388/2017 del 6 febbraio 2018</w:t>
      </w:r>
    </w:p>
    <w:p>
      <w:pPr>
        <w:pStyle w:val="Heading2"/>
      </w:pPr>
      <w:r>
        <w:t>Erwägungen</w:t>
      </w:r>
    </w:p>
    <w:p>
      <w:r>
        <w:rPr>
          <w:b/>
        </w:rPr>
        <w:t>E. 1</w:t>
      </w:r>
    </w:p>
    <w:p>
      <w:r>
        <w:t>La présente procédure concernant l'octroi ou le refus de prestations en espèces de l'assurance-accidents, le Tribunal fédéral n'est pas lié par les faits établis par l'autorité précédente (art. 97 al. 2 et 105 al. 3 LTF).</w:t>
      </w:r>
    </w:p>
    <w:p>
      <w:r>
        <w:rPr>
          <w:b/>
        </w:rPr>
        <w:t>E. 2</w:t>
      </w:r>
    </w:p>
    <w:p>
      <w:r>
        <w:t>L' art. 46 al. 2 LAA permet à l'assureur de réduire ou de refuser les prestations à titre de sanction en cas de fausses informations données intentionnellement. Cette disposition vise à réprimer un comportement dolosif tendant à obtenir de l'assurance plus que ce à quoi l'on aurait droit (ALEXANDRA RUMO-JUNGO,  Die Leistungskürzung oder -verweigerung gemäss Art. 37-39 UVG, 1993, p. 13;  GHÉLEW/RAMELET/RITTER, Commentaire de la loi sur l'assurance-accidents [LAA], 1992, p. 176;  ALFRED MAURER, Schweizerisches Unfallversicherungsrecht, 1989,    pp. 239-240). L'assureur doit examiner une telle éventualité pour chaque prestation en particulier en respectant l'interdiction de l'arbitraire, ainsi que les principes de l'égalité de traitement et de proportionnalité. Une condamnation pénale, en particulier pour escroquerie, n'est pas une condition nécessaire pour faire usage de l' art. 46 al. 2 LAA (arrêt 8C_392/2017 du 26 octobre 2017 consid. 6.2 et 7.3, destiné à la publication; arrêt 8C_68/2017 du 4 septembre 2017 consid. 4.3).</w:t>
      </w:r>
    </w:p>
    <w:p>
      <w:r>
        <w:rPr>
          <w:b/>
        </w:rPr>
        <w:t>E. 3</w:t>
      </w:r>
    </w:p>
    <w:p>
      <w:r>
        <w:t>En l'occurrence, la question est de savoir si le recourant a fait une fausse déclaration en prétendant que l'accident dont il a été victime est survenu alors qu'il se rendait au départ d'une course dite "spéciale" (soit une compétition chronométrée sur une portion du parcours) et non au cours de celle-ci. Le fait revêt une importance sous l'angle du droit aux prestations d'assurance. En effet, la participation à des courses motorisées est considérée comme une entreprise téméraire absolue qui motive dans l'assurance des accidents non professionnels le refus de toutes les prestations ou la réduction des prestations en espèces ( art. 39 LAA en corrélation avec l' art. 50 OLAA [RS 832.202]). Il en est ainsi, par exemple, de la participation à une course automobile de côte ou en circuit ( ATF 113 V 222 ; 112 V 44 ), à une compétition de moto-cross (RAMA 1991 n</w:t>
      </w:r>
    </w:p>
    <w:p>
      <w:r>
        <w:t>o U 127 p. 221, U 5/90) ou encore de la pratique dans certaines conditions de la moto sur circuit, même en dehors de toute compétition officielle (SVR 2012 UV n</w:t>
      </w:r>
    </w:p>
    <w:p>
      <w:r>
        <w:t>o 21 p. 77, 8C_472/2011).</w:t>
      </w:r>
    </w:p>
    <w:p>
      <w:r>
        <w:rPr>
          <w:b/>
        </w:rPr>
        <w:t>E. 4.1</w:t>
      </w:r>
    </w:p>
    <w:p>
      <w:r>
        <w:t>Sur la base des éléments recueillis par la CNA, les premiers juges ont retenu comme étant établi au degré de vraisemblance requis que l'accident en cause était survenu alors que le recourant participait à une spéciale.</w:t>
      </w:r>
    </w:p>
    <w:p>
      <w:r>
        <w:t>Le recourant conteste avoir fait de fausses déclarations. Il fait valoir qu'il n'a jamais varié dans celles-ci, à savoir qu'il a chuté sur un chemin blanc avant la spéciale. La notice téléphonique du 11 juin 2015, rapportant les déclarations de D.________, contiendrait des erreurs (par exemple, D.________ est désigné comme responsable pour les coureurs suisses de l'enduro, alors qu'en réalité il était l'organisateur de la manifestation). A l'issue de cet entretien téléphonique, l'employée de l'intimée n'aurait pas été sûre d'avoir bien compris le déroulement des faits. Preuve en serait le fait qu'elle a demandé à son interlocuteur de lui confirmer les circonstances de l'accident par courriel. D.________ aurait été très clair dans son courriel du 24 juillet 2015, puis lors de l'entretien téléphonique du 26 août 2015. Quant au fait que le résultat final de la course indique que l'assuré aurait abandonné durant la spéciale SP2-T2, il résulterait d'une erreur. Selon lui, des erreurs de chronométrage se produisent fréquemment. Il en veut pour preuve qu'il ressort du classement établi par l'organisateur qu'un autre coureur aurait abandonné aussi bien la spéciale SP2-T1 que la SP2-T2. Or, ce même concurrent a pris part à la SP3-T1 et SP3-T2. Dès lors, selon le recourant, de deux choses l'une: soit il y a effectivement une erreur de l'organisateur; soit ce pilote a abandonné la   SP2-T1 ou la SP2-T2 et ne pouvait donc pas participer aux deux autres spéciales. Le recourant relève en outre que son nom a été mal dactylographié dans la liste des résultats.</w:t>
      </w:r>
    </w:p>
    <w:p>
      <w:r>
        <w:rPr>
          <w:b/>
        </w:rPr>
        <w:t>E. 4.2</w:t>
      </w:r>
    </w:p>
    <w:p>
      <w:r>
        <w:t>En l'occurrence, il n'y a pas de raison de mettre en doute la conclusion à laquelle est parvenue la cour cantonale, qui s'est fondée sur un faisceau d'éléments de preuve et d'indices concordants. Les premières déclarations de D.________ sont à cet égard dépourvues de toute ambiguïté. Dans son courriel du 24 juillet 2015, il était certes moins catégorique et a cherché à les relativiser pour finalement, dans un troisième temps, déclarer avoir confondu le recourant et un autre coureur. Cette dernière version apparaît toutefois peu crédible eu égard aux modifications successives de la présentation des faits par ce témoin. De manière plus générale, indépendamment de ce manque de crédibilité, les premiers juges ont considéré à juste titre qu'il convenait d'accorder la préférence aux premières déclarations de D.________, données alors qu'il en ignorait peut-être les conséquences juridiques, les explications nouvelles pouvant, consciemment ou non, être le fruit de réflexions ultérieures (voir ATF 142 V 590 consid. 5.2 p. 594 s.; 121 V 45 consid. 2a p. 47). De plus, comme l'a relevé la juridiction cantonale, la première version de D.________ est corroborée par les déclarations du chronométreur qui a confirmé que selon les listes de classement, le recourant avait bel et bien abandonné lors de la spéciale. Les listes de classement déposées au dossier font d'ailleurs clairement état de l'abandon du recourant dans la spéciale SP2-T2.</w:t>
      </w:r>
    </w:p>
    <w:p>
      <w:r>
        <w:rPr>
          <w:b/>
        </w:rPr>
        <w:t>E. 4.3</w:t>
      </w:r>
    </w:p>
    <w:p>
      <w:r>
        <w:t>Les objections du recourant n'autorisent pas une autre conclusion. Ainsi, le fait que la notice téléphonique du 11 juin 2015 contenait une erreur sur le rôle de D.________ dans la manifestation est un détail sans importance qui ne permet pas de douter de l'exactitude des déclarations précises qui y sont par ailleurs rapportées. Du reste, si la transcription de la conversation ne correspondait pas aux déclarations de D.________, on comprendrait mal pourquoi ce dernier aurait par la suite affirmé qu'il avait confondu avec un autre coureur pour justifier son revirement dans ses déclarations. Pour cette même raison, on ne peut pas accorder crédit à l'allégation du recourant selon laquelle l'employée n'était pas sûre d'avoir bien compris le déroulement des faits, ce qui l'aurait incitée à demander une confirmation par courriel. Au demeurant, le fait de demander une confirmation écrite d'un entretien téléphonique n'a rien d'inhabituel et ne suggère pas un défaut de compréhension de l'interlocutrice. Quant à l'allégation selon laquelle le résultat final de la course indiquerait erronément que le recourant aurait abandonné durant la spéciale, elle ne repose sur aucun indice sérieux et, partant, relève de la simple hypothèse. Le fait qu'une erreur a pu être commise s'agissant d'un autre concurrent n'est pas apte à établir une erreur du même type en ce qui concerne le recourant, pas plus d'ailleurs que la circonstance que son nom a mal été orthographié dans la liste des résultats.</w:t>
      </w:r>
    </w:p>
    <w:p>
      <w:r>
        <w:rPr>
          <w:b/>
        </w:rPr>
        <w:t>E. 4.4</w:t>
      </w:r>
    </w:p>
    <w:p>
      <w:r>
        <w:t>Comme l'ont retenu les premiers juges, le recourant a déclaré à l'intimée - et confirmé après que son attention eut été attirée sur les conséquences légales - que l'accident était survenu en dehors d'une course chronométrée. On doit ainsi admettre qu'il a fait intentionnellement une fausse déclaration, justifiant l'application de l' art. 46 al. 2 LAA .</w:t>
      </w:r>
    </w:p>
    <w:p>
      <w:r>
        <w:rPr>
          <w:b/>
        </w:rPr>
        <w:t>E. 4.5</w:t>
      </w:r>
    </w:p>
    <w:p>
      <w:r>
        <w:t>Pour le reste, le recourant ne discute pas l'obligation, comme telle, de restituer les indemnités journalières perçues. Il n'y a dès lors pas lieu d'examiner cette question. Si de nouvelles prestations devaient entrer en considération à raison du même accident, il appartiendrait à l'intimée de procéder, pour l'octroi éventuel de celles-ci, à un nouvel examen, notamment sous l'angle de la proportionnalité (supra consid. 2).</w:t>
      </w:r>
    </w:p>
    <w:p>
      <w:r>
        <w:rPr>
          <w:b/>
        </w:rPr>
        <w:t>E. 5</w:t>
      </w:r>
    </w:p>
    <w:p>
      <w:r>
        <w:t>Le recours doit ainsi être rejeté. Comme il était dénué de chances de succès, la requête d'assistance judiciaire doit également être rejetée ( art. 64 al. 1 LTF ). Le recourant devra donc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