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8C_388/2016 vom 21. April 2017</w:t>
      </w:r>
    </w:p>
    <w:p>
      <w:r>
        <w:t>Bundesgericht, 2017-04-21, FR</w:t>
      </w:r>
    </w:p>
    <w:p>
      <w:r>
        <w:rPr>
          <w:b/>
        </w:rPr>
        <w:t xml:space="preserve">Quelle: </w:t>
      </w:r>
      <w:r>
        <w:t>https://mcp.opencaselaw.ch/entscheid/bger_8C_388_2016</w:t>
      </w:r>
    </w:p>
    <w:p>
      <w:r>
        <w:t>FR: TF 8C_388/2016 du 21 avril 2017</w:t>
      </w:r>
    </w:p>
    <w:p>
      <w:r>
        <w:t>IT: TF 8C_388/2016 del 21 aprile 2017</w:t>
      </w:r>
    </w:p>
    <w:p>
      <w:pPr>
        <w:pStyle w:val="Heading2"/>
      </w:pPr>
      <w:r>
        <w:t>Erwägungen</w:t>
      </w:r>
    </w:p>
    <w:p>
      <w:r>
        <w:rPr>
          <w:b/>
        </w:rPr>
        <w:t>E. 1.1</w:t>
      </w:r>
    </w:p>
    <w:p>
      <w:r>
        <w:t>Le jugement entrepris a été rendu en matière de rapports de travail de droit public au sens de l' art. 83 let . g LTF. Il s'agit d'une contestation de nature pécuniaire, de sorte que le motif d'exclusion prévu à cette disposition n'entre pas en considération. Par ailleurs, la valeur litigieuse dépasse largement le seuil de 15'000 fr. ouvrant la voie du recours en matière de droit public en ce domaine (art. 51 al. 1 let. a et 85 al. 1 let. b LTF).</w:t>
      </w:r>
    </w:p>
    <w:p>
      <w:r>
        <w:rPr>
          <w:b/>
        </w:rPr>
        <w:t>E. 1.2</w:t>
      </w:r>
    </w:p>
    <w:p>
      <w:r>
        <w:t>En vertu du principe de l'autorité de l'arrêt de renvoi du Tribunal fédéral, l'autorité cantonale à laquelle une affaire est renvoyée est tenue de fonder sa nouvelle décision sur les considérants de droit de l'arrêt du Tribunal fédéral; son pouvoir d'examen est limité par les motifs de l'arrêt de renvoi, en ce sens qu'elle est liée par ce qui a été déjà jugé définitivement par le Tribunal fédéral ainsi que par les constatations de fait qui n'ont pas été critiquées devant lui; des faits nouveaux ne peuvent être pris en considération que sur les points qui ont fait l'objet du renvoi, lesquels ne peuvent être ni étendus, ni fixés sur une base juridique nouvelle ( ATF 131 III 91 consid. 5.2 et les références). Saisi d'un recours contre la nouvelle décision cantonale, le Tribunal fédéral est aussi lié par son arrêt de renvoi ( ATF 125 III 421 consid. 2a); il ne saurait se fonder sur les motifs qui avaient été écartés ou qu'il n'avait pas eu à examiner, faute pour les parties de les avoirs invoqués dans la précédente procédure de recours, alors qu'elles pouvaient - et devaient - le faire ( ATF 135 III 334 consid. 2; 133 III 201 consid. 4.2; cf. aussi arrêts 5A_988/2015 du 28 avril 2016 consid. 1.2; 5A_785/2015 du 8 février 2016 consid. 2; 9C_53/2015 du 17 juillet 2015 consid. 2.1 et les références).</w:t>
      </w:r>
    </w:p>
    <w:p>
      <w:r>
        <w:rPr>
          <w:b/>
        </w:rPr>
        <w:t>E. 2.1</w:t>
      </w:r>
    </w:p>
    <w:p>
      <w:r>
        <w:t>Dans son arrêt de renvoi du 16 juillet 2015, le Tribunal fédéral a considéré, en résumé, que le recours des HUG était mal fondé dans la mesure où il contestait l'appréciation des premiers juges, laquelle n'était pas manifestement insoutenable en tant qu'ils ont considéré que le comportement de l'intéressé ne justifiait pas un licenciement; il l'était également en tant qu'il soulevait le grief d'application arbitraire du droit cantonal et invoquait un changement de jurisprudence injustifié en ce qui concerne l'art. 31 LPAC. Quant au montant de l'indemnité - correspondant à douze mois de salaire - fixé par la cour cantonale, le Tribunal fédéral a considéré qu'il restait dans des limites admissibles sous l'angle de l'arbitraire et il a écarté les prétentions de A.________ qui concluait à la fixation en sa faveur d'une indemnité correspondant à vingt-quatre mois du dernier traitement brut, à l'exclusion de toute autre rémunération, avec accessoires. Néanmoins, dans la mesure où la juridiction cantonale n'avait pas pris position sur le grief des HUG, selon lequel elle était allée bien au-delà des conclusions subsidiaires à sa réintégration formées par A.________ (99'307 fr. 30), en les condamnant à allouer plus de 160'000 fr. à l'intéressé, la cause a été renvoyée à ladite juridiction pour qu'elle statue sur le grief de violation de l'art. 69 al. 1 de la loi genevoise sur la procédure administrative (LPA [RS/GE E 5 10]).</w:t>
      </w:r>
    </w:p>
    <w:p>
      <w:r>
        <w:rPr>
          <w:b/>
        </w:rPr>
        <w:t>E. 2.2</w:t>
      </w:r>
    </w:p>
    <w:p>
      <w:r>
        <w:t>En l'occurrence, dans la mesure où il demande principalement sa réintégration au sein du personnel des HUG et la condamnation de ceux-ci à lui payer toute rémunération résultant des rapports de service pour la période à compter du 1</w:t>
      </w:r>
    </w:p>
    <w:p>
      <w:r>
        <w:t>er février 2012, le recourant prend des conclusions nouvelles que le Tribunal fédéral n'a pas eu à examiner dans son arrêt de renvoi du 16 juillet 2015. Par ailleurs, en demandant subsidiairement que l'indemnité consécutive au refus de réintégration soit fixée à vingt-et-un mois du dernier traitement brut, l'intéressé revient sur des griefs qui ont été écartés dans les considérants en droit de l'arrêt de renvoi, selon lesquels ses prétentions tendant à une indemnité correspondant à plus de douze mois de salaire étaient infondées. La seule question que devait examiner la cour cantonale aux termes de l'arrêt de renvoi était celle de savoir si elle était allée au-delà des conclusions de l'intéressé et, partant, avait violé l' art. 69 al. 1 LPA , en condamnant les HUG à allouer plus de 160'000 fr. à la partie adverse. La juridiction précédente a répondu négativement à cette question et le recourant ne conteste pas ce point.</w:t>
      </w:r>
    </w:p>
    <w:p>
      <w:r>
        <w:rPr>
          <w:b/>
        </w:rPr>
        <w:t>E. 3</w:t>
      </w:r>
    </w:p>
    <w:p>
      <w:r>
        <w:t>Il suit de là que le recours est mal fondé dans la mesure de sa recevabilité.</w:t>
      </w:r>
    </w:p>
    <w:p>
      <w:r>
        <w:t>Les frais judiciaires seront dès lors supportés par le recourant ( art. 66 al. 1 LTF ). Il n'y a pas lieu d'allouer de dépens aux intimés, lesquels, au demeurant, n'ont pas été invités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