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8C_386/2023 vom 6. Dezember 2023</w:t>
      </w:r>
    </w:p>
    <w:p>
      <w:r>
        <w:t>Bundesgericht, 2023-12-06, FR</w:t>
      </w:r>
    </w:p>
    <w:p>
      <w:r>
        <w:rPr>
          <w:b/>
        </w:rPr>
        <w:t xml:space="preserve">Quelle: </w:t>
      </w:r>
      <w:r>
        <w:t>https://mcp.opencaselaw.ch/entscheid/bger_8C_386_2023</w:t>
      </w:r>
    </w:p>
    <w:p>
      <w:r>
        <w:t>FR: TF 8C_386/2023 du 6 décembre 2023</w:t>
      </w:r>
    </w:p>
    <w:p>
      <w:r>
        <w:t>IT: TF 8C_386/2023 del 6 dicembre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l'intimée d'octroyer au recourant l'indemnité en cas d'insolvabilité.</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3.1</w:t>
      </w:r>
    </w:p>
    <w:p>
      <w:r>
        <w:t>Aux termes de l' art. 51 al. 1 LACI (RS 837.0),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ou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 Selon l'art. 55 al. 1, première phrase, LACI, dans la procédure de faillite ou de saisie, le travailleur est tenu de prendre toutes les mesures propres à sauvegarder son droit envers l'employeur, jusqu'à ce que la caisse l'informe de la subrogation dans ladite procédure.</w:t>
      </w:r>
    </w:p>
    <w:p>
      <w:r>
        <w:rPr>
          <w:b/>
        </w:rPr>
        <w:t>E. 3.2</w:t>
      </w:r>
    </w:p>
    <w:p>
      <w:r>
        <w:t>L'obligation pour l'assuré de réduire le dommage selon l' 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 ATF 114 V 56 consid. 4; arrêts 8C_367/2022 du 7 octobre 2022 consid. 3.2; 8C_814/2021 du 21 avril 2022 consid. 2.2; 8C_408/2020 du 7 octobre 2020 consid. 3).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 art. 54 LACI (arrêt 8C_749/2016 du 22 novembre 2017 consid. 3.5.3 et les références). Il s'agit d'éviter que l'assuré reste inactif en attendant le prononcé de la faillite de son ex-employeur (arrêts 8C_367/2022 consid. 3.2 précité; 8C_956/2012 du 19 août 2013 consid. 3).</w:t>
      </w:r>
    </w:p>
    <w:p>
      <w:r>
        <w:t>Pour qu'il y ait droit à une indemnité en cas d'insolvabilité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La violation de l'obligation de diminuer le dommage implique que l'on puisse reprocher à l'assuré d'avoir commis une faute intentionnelle ou une négligence grave (arrêts 8C_367/2022 consid. 3.2 précité; 8C_814/2021 consid. 2.2 précité; 8C_408/2020 consid. 3 précité).</w:t>
      </w:r>
    </w:p>
    <w:p>
      <w:r>
        <w:rPr>
          <w:b/>
        </w:rPr>
        <w:t>E. 4</w:t>
      </w:r>
    </w:p>
    <w:p>
      <w:r>
        <w:t>En l'espèce, les juges cantonaux ont retenu qu'au vu du risque de mise en faillite et de l'incertitude quant au dédommagement de la société par l'assurance responsabilité civile de l'auteur de l'incendie, il devait être admis que la situation de la société pouvait encore se dégrader ensuite du licenciement du recourant. Entre son licenciement le 30 novembre 2018 et la production de sa créance salariale auprès de l'office des faillites le 25 février 2021, l'intéressé s'était limité à interpeller oralement son employeur et à déposer, le 6 février 2020, une requête en conciliation auprès du tribunal des prud'hommes. Compte tenu de la jurisprudence, ces interventions orales ne suffisaient pas pour satisfaire à l'obligation de réduire le dommage. L'inaction prolongée du recourant entre le 30 novembre 2018 et le 6 février 2020 constituait également une violation de cette obligation. Celui-ci avait certes obtenu une reconnaissance de dette le 30 août 2018 et adressé une mise en demeure écrite à son employeur le 22 octobre 2018; ces démarches étaient toutefois intervenues avant son licenciement et l'obtention d'une reconnaissance de dette n'était de toute manière pas suffisante.</w:t>
      </w:r>
    </w:p>
    <w:p>
      <w:r>
        <w:t>La juridiction cantonale a ajouté que le seul espoir d'une amélioration de la situation financière de la société, ensuite d'un éventuel dédommagement par l'assurance, ne justifiait pas une si longue période d'inaction de la part du recourant. Il n'était de surcroît pas établi que l'immeuble détruit par un incendie le 28 février 2018 à U.________ appartenait à B.________ SA, ni que cette entreprise y avait ses bureaux, étant précisé que son siège était à V.________ et que le recourant était domicilié dans cette ville. Il ressortait en outre d'une attestation de l'employeur du 30 août 2018 que la cause de l'incapacité d'honorer le salaire du recourant en été 2018 résidait également dans les mauvais résultats financiers de la société. Ces importants problèmes financiers - connus du recourant - auraient dû l'inciter à entreprendre rapidement des démarches sérieuses en vue de tenter de récupérer sa créance salariale. Il ne pouvait pas se contenter de rester inactif jusqu'à la mise en faillite.</w:t>
      </w:r>
    </w:p>
    <w:p>
      <w:r>
        <w:rPr>
          <w:b/>
        </w:rPr>
        <w:t>E. 5.1</w:t>
      </w:r>
    </w:p>
    <w:p>
      <w:r>
        <w:t>Le recourant soutient que le raisonnement des premiers juges ne saurait être suivi, dès lors qu'il aurait agi afin de protéger au mieux sa créance salariale et de limiter le dommage de l'assurance-chômage. Entre la fin des rapports de travail et la requête de conciliation au tribunal des prud'hommes, son ex-employeur n'aurait pas contesté sa créance salariale. Il n'aurait donc pas eu à craindre des difficultés particulières à pouvoir encaisser cette créance. La société lui avait en outre confirmé son intérêt à le réengager dans un futur proche sitôt le dédommagement perçu par l'assurance. Il aurait ainsi été confiant quant au paiement de sa créance, d'autant plus qu'entre l'incendie en février 2018 et la faillite de la société, il aurait été en relation permanente avec la direction et aurait été tenu informé de l'évolution de la situation. Le recourant relève encore avoir mis en demeure son ex-employeur avant même son licenciement. Il aurait entrepris de bonne foi et en temps opportun ce qui devait l'être. Dans l'attente du versement d'une somme importante de l'assurance, il aurait eu de bonnes raisons de s'attendre à une amélioration de la situation financière de la société et au paiement de son salaire. En produisant sa créance salariale le 25 février 2021 dans le cadre de la faillite de la société, il aurait respecté son obligation de réduire le dommage au sens de l' art. 55 al. 1 LACI . On ne pourrait pas non plus lui reprocher de ne pas avoir agi plus tôt au motif que l'un de ses anciens collègues avait saisi plus rapidement le tribunal des prud'hommes, dès lors que ni ledit collègue ni l'intimée, après subrogation, n'avait réussi à encaisser la créance.</w:t>
      </w:r>
    </w:p>
    <w:p>
      <w:r>
        <w:rPr>
          <w:b/>
        </w:rPr>
        <w:t>E. 5.2</w:t>
      </w:r>
    </w:p>
    <w:p>
      <w:r>
        <w:t>En ce qui concerne les interpellations orales de l'employeur, la reconnaissance de dette et la mise en demeure écrite, le Tribunal fédéral a déjà eu l'occasion de confirmer, dans un arrêt récent impliquant un ancien collègue du recourant au sein de B.________ SA, que de telles démarches ne satisfont pas à l'obligation de réduire le dommage lorsque comme en l'espèce, l'employeur ne remplit pas ses obligations contractuelles sur une longue période (cf. arrêt 8C_367/2022 du 7 octobre 2022 consid. 6.2). Comme retenu à bon droit par la cour cantonale, la requête en conciliation auprès du tribunal des prud'hommes, déposée environ 14 mois après le licenciement et qui n'a pas été suivie d'autres démarches judiciaires, ne s'avère pas non plus suffisante à l'aune de la jurisprudence (cf. consid. 3.2 supra). Le fait que l'ex-employeur n'ait pas contesté la créance du recourant n'y change rien, cette reconnaissance n'offrant aucune garantie de recouvrement. L'instance précédente a également considéré à juste titre que l'espoir d'une amélioration de la situation financière de la société, ensuite d'un éventuel dédommagement par l'assurance responsabilité civile de l'auteur de l'incendie, ne justifiait pas l'inaction du recourant. Celui-ci n'a de surcroît fourni aucun détail à propos de la procédure d'indemnisation, en particulier sur les raisons de l'absence de tout dédommagement plusieurs années après l'incendie. Il n'a fait état d'aucun élément concret qui aurait pu le conforter dans l'idée qu'une indemnisation par l'assurance allait vraisemblablement intervenir et qu'elle entraînerait le paiement des arriérés de salaire. Comme relevé par le tribunal cantonal, les difficultés de l'entreprise étaient également liées à de mauvais résultats financiers, de sorte que son éventuel redressement ne dépendait pas uniquement des suites de l'incendie du 28 février 2018. Dans ce contexte, la promesse de réembauche de son ex-employeur ne légitime pas non plus l'inaction prolongée du recourant. S'agissant des chances de succès de poursuites intentées contre la société, on rappellera qu'en matière d'indemnité en cas d'insolvabilité, il n'appartient pas à l'assuré d'estimer lui-même si des démarches en vue de récupérer sa créance peuvent ou non être couronnées de succès ( ATF 131 V 196 consid. 4.1.2; arrêt 8C_367/2022 consid. 6.2 précité et l'arrêt cité), la probabilité d'un échec de telles démarches augmentant du reste de manière constante au fil du temps (arrêt 8C_367/2022 consid. 6.2 précité et l'arrêt cité). L'arrêt attaqué échappe ainsi à la critique et le recours doit être rejeté.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