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8C_385/2018 vom 21. Juni 2018</w:t>
      </w:r>
    </w:p>
    <w:p>
      <w:r>
        <w:t>Bundesgericht, 2018-06-21, FR</w:t>
      </w:r>
    </w:p>
    <w:p>
      <w:r>
        <w:rPr>
          <w:b/>
        </w:rPr>
        <w:t xml:space="preserve">Quelle: </w:t>
      </w:r>
      <w:r>
        <w:t>https://mcp.opencaselaw.ch/entscheid/bger_8C_385_2018</w:t>
      </w:r>
    </w:p>
    <w:p>
      <w:r>
        <w:t>FR: TF 8C_385/2018 du 21 juin 2018</w:t>
      </w:r>
    </w:p>
    <w:p>
      <w:r>
        <w:t>IT: TF 8C_385/2018 del 21 giugno 2018</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p. 106 et les références).</w:t>
      </w:r>
    </w:p>
    <w:p>
      <w:r>
        <w:rPr>
          <w:b/>
        </w:rPr>
        <w:t>E. 3</w:t>
      </w:r>
    </w:p>
    <w:p>
      <w:r>
        <w:t>Le jugement attaqué repose sur la loi cantonale sur l'action sociale vaudoise du 2 décembre 2003 (LASV; RSV 850.051) et son règlement d'application du 26 octobre 2005 (RLASV; RSV 850.051.1).</w:t>
      </w:r>
    </w:p>
    <w:p>
      <w:r>
        <w:t>Les premiers juges ont confirmé la sanction infligée au recourant au motif que ce dernier avait gravement manqué à son devoir de collaboration et avait, par sa faute, mis en échec les efforts entrepris par les intervenants de l'OAI, en collaboration avec le CSR, pour lui trouver un travail adapté à ses capacités. Selon la juridiction cantonale, malgré les ajustements consentis par son employeur potentiel, le recourant n'avait pas démontré la volonté nécessaire à la concrétisation de son engagement et avait, par son manque de volonté certain, réduit à néant l'opportunité qui se présentait à lui de retrouver progressivement son autonomie financière, au moyen d'un travail à 50 %. S'agissant de la quotité de la sanction, les premiers juges ont maintenu la réduction à 25 % mais ont réduit sa durée à six mois pour tenir compte de l'entrée en vigueur, au 1</w:t>
      </w:r>
    </w:p>
    <w:p>
      <w:r>
        <w:t>er janvier 2017, de la modification de l' art. 45 al. 1 let . c RLAVS, lequel était applicable à titre de lex mitior.</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 ce que le recourant n'a pas fait en l'espèce. En effet, dans son écriture, il se borne à demander que sa sanction soit réduite en se plaignant pour l'essentiel d'un manque d'encadrement par l'OAI dans ses recherches d'emploi et en invoquant l'inadéquation du stage avec ses limitations fonctionnelles.</w:t>
      </w:r>
    </w:p>
    <w:p>
      <w:r>
        <w:rPr>
          <w:b/>
        </w:rPr>
        <w:t>E. 5</w:t>
      </w:r>
    </w:p>
    <w:p>
      <w:r>
        <w:t>Le présent recours est ainsi manifestement irrecevable et doit être traité selon la procédure simplifiée prévue par l' art. 108 al. 1 let. b LTF . Vu les circonstances, le présent arrêt sera rendu sans frais (art. 66 al. 1, 2 ème phrase, LTF), ce qui rend sans objet la requête d'assistance judiciaire présentée par le recourant.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