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8C_383/2024 vom 1. Juli 2024</w:t>
      </w:r>
    </w:p>
    <w:p>
      <w:r>
        <w:t>Bundesgericht, 2024-07-01, DE</w:t>
      </w:r>
    </w:p>
    <w:p>
      <w:r>
        <w:rPr>
          <w:b/>
        </w:rPr>
        <w:t xml:space="preserve">Quelle: </w:t>
      </w:r>
      <w:r>
        <w:t>https://mcp.opencaselaw.ch/entscheid/bger_8C_383_2024</w:t>
      </w:r>
    </w:p>
    <w:p>
      <w:r>
        <w:t>FR: TF 8C_383/2024 du 1 juillet 2024</w:t>
      </w:r>
    </w:p>
    <w:p>
      <w:r>
        <w:t>IT: TF 8C_383/2024 del 1 luglio 2024</w:t>
      </w:r>
    </w:p>
    <w:p>
      <w:pPr>
        <w:pStyle w:val="Heading2"/>
      </w:pPr>
      <w:r>
        <w:t>Erwägungen</w:t>
      </w:r>
    </w:p>
    <w:p>
      <w:r>
        <w:rPr>
          <w:b/>
        </w:rPr>
        <w:t>E. 1</w:t>
      </w:r>
    </w:p>
    <w:p>
      <w:r>
        <w:t>Mit Einspracheentscheid vom 13. Juni 2023 verneinte die Beschwerdegegnerin einen Anspruch auf Ergänzungsleistungen ab 1. September 2020 und ab 1. Januar 2021.</w:t>
      </w:r>
    </w:p>
    <w:p>
      <w:r>
        <w:t>Das Versicherungsgericht des Kantons St. Gallen hiess die dagegen erhobene Beschwerde mit Urteil vom 23. April 2024 in dem Sinne gut, als es die Sache zu weiteren Abklärungen an die Verwaltung zurückwies.</w:t>
      </w:r>
    </w:p>
    <w:p>
      <w:r>
        <w:rPr>
          <w:b/>
        </w:rPr>
        <w:t>E. 2</w:t>
      </w:r>
    </w:p>
    <w:p>
      <w:r>
        <w:t>Mit diesem Rückweisungsentscheid ist der Leistungsstreit nach wie vor nicht abgeschlossen. Vielmehr wird die Beschwerdegegnerin in einem nächsten Schritt Abklärungen tätigen und hernach in der Sache neu verfügen. Mit anderen Worten handelt es sich beim vorliegend angefochtenen Entscheid um einen Zwischenentscheid ( BGE 144 V 280 E. 1.2; 133 V 481 E. 4.2).</w:t>
      </w:r>
    </w:p>
    <w:p>
      <w:r>
        <w:t>Gegen solche selbstständig eröffnete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3.1</w:t>
      </w:r>
    </w:p>
    <w:p>
      <w:r>
        <w:t>Ein nicht wieder gutzumachender Nachteil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t>Ein solcher nicht wieder gutzumachender (rechtlicher) Nachteil ist für den Beschwerdeführer nicht ausgewiesen. Ihm wird im Anschluss an den noch zu fällenden Endentscheid der Rechtsmittelweg bis zum Bundesgericht offen stehen: Dabei wird er insbesondere die vor Vorinstanz (erfolglos) kritisierte Vermögensverzichtsanrechnung, soweit sich auf den Inhalt des verfahrensabschliessenden Entscheids auswirkend, thematisieren können ( Art. 93 Abs. 3 BGG ).</w:t>
      </w:r>
    </w:p>
    <w:p>
      <w:r>
        <w:rPr>
          <w:b/>
        </w:rPr>
        <w:t>E. 3.2</w:t>
      </w:r>
    </w:p>
    <w:p>
      <w:r>
        <w:t>Selbst wenn die Beschwerde gutgeheissen würde, könnte dies nicht zu einem Endentscheid in der Sache führen, beantragt der Beschwerdeführer doch allein, ihm sei bei der EL-Anspruchsberechnung kein Verzichtsvermögen anzurechnen, nicht hingegen ein Urteil in der Sache.</w:t>
      </w:r>
    </w:p>
    <w:p>
      <w:r>
        <w:rPr>
          <w:b/>
        </w:rPr>
        <w:t>E. 4</w:t>
      </w:r>
    </w:p>
    <w:p>
      <w:r>
        <w:t>Erweist sich die Beschwerde insgesamt als offensichtlich unzulässig, so führt dies zu einem Nichteintreten auf das Rechtsmittel im vereinfachten Verfahren nach Art. 108 Abs. 1 lit. a BGG .</w:t>
      </w:r>
    </w:p>
    <w:p>
      <w:r>
        <w:rPr>
          <w:b/>
        </w:rPr>
        <w:t>E. 5</w:t>
      </w:r>
    </w:p>
    <w:p>
      <w:r>
        <w:t>Das in der Beschwerdeschrift gestellte Gesuch um unentgeltliche Rechtspflege ist wegen aussichtsloser Beschwerdeführung abzuweisen ( Art. 64 Abs. 1 BGG ).</w:t>
      </w:r>
    </w:p>
    <w:p>
      <w:r>
        <w:rPr>
          <w:b/>
        </w:rPr>
        <w:t>E. 6</w:t>
      </w:r>
    </w:p>
    <w:p>
      <w:r>
        <w:t>Die Gerichtskosten sind ausgangsgemäss der Beschwerdeführer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