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380/2010 vom 18. August 2010</w:t>
      </w:r>
    </w:p>
    <w:p>
      <w:r>
        <w:t>Bundesgericht, 2010-08-18, DE</w:t>
      </w:r>
    </w:p>
    <w:p>
      <w:r>
        <w:rPr>
          <w:b/>
        </w:rPr>
        <w:t xml:space="preserve">Quelle: </w:t>
      </w:r>
      <w:r>
        <w:t>https://mcp.opencaselaw.ch/entscheid/bger_8C_380_2010</w:t>
      </w:r>
    </w:p>
    <w:p>
      <w:r>
        <w:t>FR: TF 8C 380/2010 du 18 août 2010</w:t>
      </w:r>
    </w:p>
    <w:p>
      <w:r>
        <w:t>IT: TF 8C 380/2010 del 18 agosto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Entscheid werden die Bestimmungen und Grundsätze über die Voraussetzungen des Anspruchs auf Arbeitslosenentschädigung ( Art. 8 Abs. 1 AVIG ), die gesetzlichen Vorschriften zum Ausschluss arbeitgeberähnlicher Personen und im Betrieb mitarbeitender Ehegatten vom Anspruch auf Kurzarbeitsentschädigung ( Art. 31 Abs. 3 lit. c AVIG ) sowie die Rechtsprechung zur analogen Anwendung dieser Bestimmung auf arbeitgeberähnliche Personen und ihre Ehegatten, die Arbeitslosenentschädigung verlangen ( BGE 123 V 234 E. 7 S. 236), richtig dargelegt. Darauf wird verwiesen.</w:t>
      </w:r>
    </w:p>
    <w:p>
      <w:r>
        <w:rPr>
          <w:b/>
        </w:rPr>
        <w:t>E. 3.1</w:t>
      </w:r>
    </w:p>
    <w:p>
      <w:r>
        <w:t>Das kantonale Gericht gelangte nach pflichtgemässer Beweiswürdigung zum Schluss, aufgrund des Umstands, dass der Ehegatte der Versicherten als einzelzeichnungsberechtigter Verwaltungsrat und Alleinaktionär der Firma I.________ AG im Handelsregister eingetragen sei, bei welcher die Beschwerdeführerin vom 1. August 2008 bis 31. März 2009 als Direktionsassistentin/Leiterin Marketing und Verkauf angestellt gewesen war, sei sie als Ehegattin einer arbeitgeberähnlichen Person im hier zu beurteilenden Zeitraum vom 1. April bis 26. Juli 2009 vom Anspruch auf Arbeitslosenentschädigung ausgeschlossen.</w:t>
      </w:r>
    </w:p>
    <w:p>
      <w:r>
        <w:rPr>
          <w:b/>
        </w:rPr>
        <w:t>E. 3.2</w:t>
      </w:r>
    </w:p>
    <w:p>
      <w:r>
        <w:t>Was die Beschwerdeführerin hiegegen einwendet, vermag zu keinem anderen Ergebnis zu führen, zumal die Sachverhaltsfeststellungen der Vorinstanz unbestritten geblieben sind. Entgegen den Vorbringen in der Beschwerde ist die Versicherte mit der Beendigung des Arbeitsverhältnisses nicht aus ihrer "Rolle als Ehefrau eines Quasi-Arbeitgebers herausgetreten". Die geltend gemachte missliche wirtschaftliche Lage des Betriebs mit geplanter Stilllegung der Gesellschaft ist rechtsprechungsgemäss kein taugliches Kriterium, um das definitive Ausscheiden einer arbeitgeberähnlichen Person aus der Firma zu belegen (Urteil C 110/03 vom 8. Juni 2004). Daran ändert auch der Hinweis nichts, ihr damaliger Ehegatte habe per 9. September 2009 eine Vollzeitstelle bei der Firma M.________ AG angenommen, da dieser weiterhin als einzelzeichnungsberechtigter Verwaltungsrat und Alleinaktionär der Firma I.________ AG im Handelsregister eingetragen blieb. Die Stellung der Ehegattin einer arbeitgeberähnlichen Person hatte die Versicherte bis zu ihrer Abmeldung von der Arbeitsvermittlung am 27. Juli 2009 inne, was rechtsprechungsgemäss ( BGE 123 V 234 ) einem Anspruch auf Arbeitslosenentschädigung entgegensteht. Weiter wird geltend gemacht, die Annahme einer abstrakten Missbrauchsgefahr werde dem Einzelfall nicht gerecht. Es sei für die Ehegattin im hier zu beurteilenden Fall mit Blick auf den zeitlichen Ablauf eine missbrauchsträchtige Situation auszuschliessen, da sie mit ihrem Ausscheiden aus der Unternehmung und dem Abschluss eines neuen Arbeitsvertrages all jene Eigenschaften verloren habe, um derentwillen sie als Ehefrau einer arbeitgeberähnlichen Person vom Anspruch auf Arbeitslosenentschädigung auszunehmen gewesen wäre. Damit verkennt die Versicherte zum einen, dass sie - wie soeben dargelegt - diese Ausschlusseigenschaft nicht verloren hatte und zum andern, dass die Rechtsprechung gemäss BGE 123 V 234 gerade nicht nur dem ausgewiesenen Missbrauch an sich, sondern bereits dem Risiko eines solchen begegnen will, welches der Ausrichtung von Arbeitslosenentschädigung an arbeitgeberähnliche Personen und deren Ehegatten inhärent ist (ARV 2003 Nr. 22 S. 242 E. 4, C 92/02; SVR 2007, AlV Nr. 21 S. 69, C 180/06). Zu einer Änderung dieser Rechtsprechung besteht kein Anlass. Nicht stichhaltig ist schliesslich die Berufung auf die Rechtsgleichheit von arbeitslosen Personen und das Verbot der Diskriminierung Verheirateter ( Art. 8 Abs. 1 und 2 BV ; vgl. ARV 2005 Nr. 9 S. 130 E. 4), zumal die diesbezügliche Rüge nicht näher substanziiert wird ( Art. 106 Abs. 2 BGG ), weshalb es beim vorinstanzlichen Entscheid sein Bewenden hat.</w:t>
      </w:r>
    </w:p>
    <w:p>
      <w:r>
        <w:rPr>
          <w:b/>
        </w:rPr>
        <w:t>E. 4</w:t>
      </w:r>
    </w:p>
    <w:p>
      <w:r>
        <w:t>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