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8C_37/2026 vom 26. Februar 2026</w:t>
      </w:r>
    </w:p>
    <w:p>
      <w:r>
        <w:t>Bundesgericht, 2026-02-26, DE</w:t>
      </w:r>
    </w:p>
    <w:p>
      <w:r>
        <w:rPr>
          <w:b/>
        </w:rPr>
        <w:t xml:space="preserve">Quelle: </w:t>
      </w:r>
      <w:r>
        <w:t>https://mcp.opencaselaw.ch/entscheid/bger_8C_37_2026</w:t>
      </w:r>
    </w:p>
    <w:p>
      <w:r>
        <w:t>FR: TF 8C_37/2026 du 26 février 2026</w:t>
      </w:r>
    </w:p>
    <w:p>
      <w:r>
        <w:t>IT: TF 8C_37/2026 del 26 febbraio 2026</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Rechtsmittelfristen als gesetzliche Fristen sind nicht erstreckbar ( Art. 47 Abs. 1 BGG ). Innert dieser Frist muss eine den oben aufgezeigten Begründungsanforderungen genügende Beschwerde eingereicht sein. Es liegt an der Beschwerde führenden Person, sich so zu organisieren, dass dies möglich ist. In Sozialhilfestreitigkeiten scheidet die Möglichkeit aus, eine Nachfrist zur Ergänzung der Beschwerdeschrift einzuräumen (e contrario Art. 43 BGG ).</w:t>
      </w:r>
    </w:p>
    <w:p>
      <w:r>
        <w:rPr>
          <w:b/>
        </w:rPr>
        <w:t>E. 3</w:t>
      </w:r>
    </w:p>
    <w:p>
      <w:r>
        <w:t>Mit gemäss postamtlicher Bescheinigung am 19. Dezember 2025 zugestelltem Urteil vom 4. Dezember 2025 bestätigte das Verwaltungsgericht des Kantons Zürich den Beschluss der Beschwerdegegnerin vom 27. März 2025, dem Beschwerdeführer mangels ausgewiesener Bedürftigkeit keine Sozialhilfeleistungen auszurichten. Zur Anwendung gelangte dabei kantonales Recht.</w:t>
      </w:r>
    </w:p>
    <w:p>
      <w:r>
        <w:rPr>
          <w:b/>
        </w:rPr>
        <w:t>E. 4</w:t>
      </w:r>
    </w:p>
    <w:p>
      <w:r>
        <w:t>Die bundesgerichtliche Rechtsmittelfrist ist gemäss Art. 44 - 48 und Art. 100 Abs. 1 BGG am 2. Februar 2026 abgelaufen. Innert dieser Frist hat der Beschwerdeführer nicht aufgezeigt, inwieweit die von der Vorinstanz in diesem Zusammenhang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sollen. Allein Beschwerde zu erheben und diesbezüglich um Fristerstreckung zu ersuchen, reicht nicht aus. Darauf hat das Bundesgericht mit Schreiben vom 19. Januar 2026 ausdrücklich hingewiesen.</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