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8C_37/2017 vom 15. September 2017</w:t>
      </w:r>
    </w:p>
    <w:p>
      <w:r>
        <w:t>Bundesgericht, 2017-09-15, FR</w:t>
      </w:r>
    </w:p>
    <w:p>
      <w:r>
        <w:rPr>
          <w:b/>
        </w:rPr>
        <w:t xml:space="preserve">Quelle: </w:t>
      </w:r>
      <w:r>
        <w:t>https://mcp.opencaselaw.ch/entscheid/bger_8C_37_2017</w:t>
      </w:r>
    </w:p>
    <w:p>
      <w:r>
        <w:t>FR: TF 8C_37/2017 du 15 septembre 2017</w:t>
      </w:r>
    </w:p>
    <w:p>
      <w:r>
        <w:t>IT: TF 8C_37/2017 del 15 settembre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son recours devant le Tribunal fédéral, le recourant ne remet pas en cause le jugement cantonal en tant qu'il porte sur le taux de l'indemnité pour atteinte à l'intégrité. Par conséquent, seule est litigieuse la question du droit de l'assuré à une rente d'invalidité.</w:t>
      </w:r>
    </w:p>
    <w:p>
      <w:r>
        <w:t>La procédure portant sur l'octroi ou le refus des prestations en espèces de l'assurance-accidents, le Tribunal fédéral n'est pas lié par les faits établis par la juridiction précédente ( art. 105 al. 3 LTF ).</w:t>
      </w:r>
    </w:p>
    <w:p>
      <w:r>
        <w:rPr>
          <w:b/>
        </w:rPr>
        <w:t>E. 3</w:t>
      </w:r>
    </w:p>
    <w:p>
      <w:r>
        <w:t>Il ressort du rapport du docteur E.________, du 5 août 2015, que l'assuré présente différentes atteintes en sus des troubles au genou droit, notamment des lombalgies basses, une probable rupture de la coiffe des rotateurs de l'épaule droite, des troubles à l'épaule gauche et une neurolyse du nerf cubital avec diminution de la sensibilité au membre supérieur gauche. S'agissant du genou droit, ce médecin a considéré qu'en l'absence d'instabilité symptomatique, chez un patient de 59 ans et en l'absence de signe d'atteinte méniscale, il n'y avait pas de traitement chirurgical ni de traitement de physiothérapie susceptible d'améliorer la situation de manière notable, de sorte que les séquelles lésionnelles pouvaient être évaluées. Sur le plan de la capacité de travail, un retour vers une pleine activité dans sa profession n'était pas envisageable. En revanche, l'assuré pouvait mettre en valeur une pleine capacité dans un travail adapté aux limitations suivantes: pas d'activité en terrain accidenté, pas d'activité dans les pentes et dans les escaliers de manière répétée, pas d'activité à genoux, pas d'activité en position accroupie, pas de port de charge supérieure à 20-25 kg, activités en position debout avec possibilité de s'assoir régulièrement.</w:t>
      </w:r>
    </w:p>
    <w:p>
      <w:r>
        <w:t>Se fondant sur les conclusions du docteur E.________, Mutuel a considéré que l'activité d'ouvrier agricole exercée par l'assuré à 50 % ne lui permettait pas de mettre pleinement en valeur sa capacité résiduelle de gain. Aussi a-t-il fixé le revenu d'invalide déterminant pour la comparaison des revenus compte tenu des données salariales résultant de l'Enquête suisse sur la structure des salaires (ESS), plutôt qu'en fonction du revenu effectivement réalisé. Il est parti d'un gain mensuel déterminant de 4'901 fr., selon le tableau TA1 relatif à l'année 2010, toutes activités confondues dans le secteur privé pour des travaux simples et répétitifs (niveau 4) exercés par des hommes. Adapté à la durée hebdomadaire normale de travail en 2015 (41,6 heures) et à l'évolution des salaires jusqu'en 2015, le revenu annuel était de 63'650 fr. 30. Mutuel a en outre procédé à un abattement de 15 %, afin de tenir compte de la situation particulière du recourant, notamment de son âge. Le revenu d'invalide était de 54'102 fr. 75. Comparé au revenu sans invalidité de 45'748 fr. 85 que l'assuré aurait pu réaliser en 2015, le degré d'invalidité était nul. Mutuel a indiqué que même en opérant, par hypothèse, la déduction maximale autorisée par la jurisprudence, c'est-à-dire 25 % ( ATF 126 V 75 ), le taux d'invalidité restait insuffisant pour ouvrir droit à une rente d'invalidité de l'assurance-accidents (cf. art. 18 al. 1 LAA ).</w:t>
      </w:r>
    </w:p>
    <w:p>
      <w:r>
        <w:rPr>
          <w:b/>
        </w:rPr>
        <w:t>E. 4</w:t>
      </w:r>
    </w:p>
    <w:p>
      <w:r>
        <w:t>Selon les premiers juges, c'est à juste titre que l'intimé n'a pas suivi la décision de l'Office AI, laquelle tenait compte d'atteintes à la santé dont ne répondait pas l'assureur-accidents (à savoir les lombosciatalgies, les troubles aux épaules et la neuropathie cubitale bilatérale). Ils ont constaté que l'Office AI était aussi arrivé à la conclusion que l'assuré disposait d'une pleine capacité de travail dans une activité adaptée à ses limitations fonctionnelles. S'il avait cependant renoncé à exiger la mise en valeur de cette pleine capacité, c'était uniquement pour des motifs d'opportunité (âge de l'assuré, longs rapports de service auprès du même employeur, disponibilité de l'employeur à garder son employé à 50 %). Ces circonstances ne suffisaient toutefois pas, selon les premiers juges, à ouvrir le droit à une rente. Pour le reste, les premiers juges ont confirmé le calcul de l'invalidité opéré par l'intimé qui n'était pas critiqué comme tel par le recourant.</w:t>
      </w:r>
    </w:p>
    <w:p>
      <w:r>
        <w:rPr>
          <w:b/>
        </w:rPr>
        <w:t>E. 5</w:t>
      </w:r>
    </w:p>
    <w:p>
      <w:r>
        <w:t>Le recourant fait valoir qu'il n'est pas raisonnablement exigible, au vu de son âge avancé et du fait qu'il travaille depuis près de vingt ans dans la même profession au service du même employeur, qu'il renonce à son activité d'ouvrier agricole exercée à 50 % pour prendre un autre emploi lui permettant de mettre davantage en valeur sa capacité résiduelle de gain. Aussi, son taux d'invalidité doit-il être établi compte tenu du revenu effectivement réalisé.</w:t>
      </w:r>
    </w:p>
    <w:p>
      <w:r>
        <w:rPr>
          <w:b/>
        </w:rPr>
        <w:t>E. 6.1</w:t>
      </w:r>
    </w:p>
    <w:p>
      <w:r>
        <w:t>L'âge avancé d'un assuré comme facteur prépondérant à son empêchement de maintenir sa capacité de gain n'est pas pris en considération de la même manière en assurance-invalidité qu'en assurance-accidents, dans laquelle l' art. 28 al. 4 OLAA commande de faire abstraction du facteur de l'âge pour les deux termes de la comparaison des revenus (cf. ATF 122 V 418 consid. 3b p. 422; voir également, au sujet de la portée de l'âge dans le domaine de l'assurance-accidents, SVR 2016 UV n° 39 p. 131 consid. 4.3, arrêt 8C_754/2015). D'après l' art. 28 al. 4 OLAA ,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 ATF 122 V 426 ; 113 V 132 consid. 4b p. 135 s.). Selon la jurisprudence, la notion d'âge moyen au sens de l' art. 28 al. 4 OLAA se situe autour de 42 ans ou entre 40 et 45 ans; on considère que l'âge est avancé lorsque l'assuré est âgé d'environ 60 ans au moment où il a droit à la rente ( ATF 122 V 418 consid. 1b p. 419, 426 consid. 2 p. 427).</w:t>
      </w:r>
    </w:p>
    <w:p>
      <w:r>
        <w:rPr>
          <w:b/>
        </w:rPr>
        <w:t>E. 6.2</w:t>
      </w:r>
    </w:p>
    <w:p>
      <w:r>
        <w:t>Selon la jurisprudence, pour que le revenu d'invalide soit fixé en fonction du gain que pourrait réaliser un assuré d'âge moyen présentant les mêmes séquelles accidentelles, il faut que l'âge avancé soit la cause essentielle de la diminution de la capacité de gain ( ATF 122 V 418 consid. 3b p. 422; RAMA 1998 n° U 296 p. 235, U 245/96 consid. 3c). Par ailleurs, l' 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 U 296 p. 235, U 245/96 consid. 3c; arrêt U 538/06 du 30 janvier 2007 consid. 3.2).</w:t>
      </w:r>
    </w:p>
    <w:p>
      <w:r>
        <w:rPr>
          <w:b/>
        </w:rPr>
        <w:t>E. 6.3</w:t>
      </w:r>
    </w:p>
    <w:p>
      <w:r>
        <w:t>En l'espèce, sur le vu du rapport du docteur E.________, lequel n'est pas contesté, le recourant est en mesure d'exercer à 100 % une activité adaptée à ses limitations fonctionnelles. Aussi bien les circonstances invoquées par le recourant ne sauraient-elles être déterminantes au regard des principes ci-dessus exposés. Au demeurant, l'intimé a tenu compte de l'âge du recourant en procédant à une déduction de 15 % sur le revenu d'invalide. Pour le reste, le recourant ne conteste pas le calcul opéré par l'intimé et qui conduit à l'absence d'une invalidité ouvrant droit à une rente (cf. art. 18 LAA ).</w:t>
      </w:r>
    </w:p>
    <w:p>
      <w:r>
        <w:rPr>
          <w:b/>
        </w:rPr>
        <w:t>E. 7</w:t>
      </w:r>
    </w:p>
    <w:p>
      <w:r>
        <w:t>Il s'ensuit que le jugement attaqué n'est pas critiquable et que le recours se révèle mal fondé.</w:t>
      </w:r>
    </w:p>
    <w:p>
      <w:r>
        <w:rPr>
          <w:b/>
        </w:rPr>
        <w:t>E. 8</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