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379/2016 vom 20. September 2016</w:t>
      </w:r>
    </w:p>
    <w:p>
      <w:r>
        <w:t>Bundesgericht, 2016-09-20, DE</w:t>
      </w:r>
    </w:p>
    <w:p>
      <w:r>
        <w:rPr>
          <w:b/>
        </w:rPr>
        <w:t xml:space="preserve">Quelle: </w:t>
      </w:r>
      <w:r>
        <w:t>https://mcp.opencaselaw.ch/entscheid/bger_8C_379_2016</w:t>
      </w:r>
    </w:p>
    <w:p>
      <w:r>
        <w:t>FR: TF 8C 379/2016 du 20 septembre 2016</w:t>
      </w:r>
    </w:p>
    <w:p>
      <w:r>
        <w:t>IT: TF 8C 379/2016 del 20 settembre 2016</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in der Zeit ab 1. Oktober 2013 Anspruch auf eine Invalidenrente hat. Zudem ist streitig, ob er Leistungen der Unfallversicherung zu Unrecht bezogen und deshalb zurückzuerstatten hat.</w:t>
      </w:r>
    </w:p>
    <w:p>
      <w:r>
        <w:rPr>
          <w:b/>
        </w:rPr>
        <w:t>E. 3.1</w:t>
      </w:r>
    </w:p>
    <w:p>
      <w:r>
        <w:t>Ist der Versicherte infolge des Unfalles voll oder teilweise arbeitsunfähig, so hat er gemäss Art. 16 Abs. 1 ATSG Anspruch auf ein Taggeld.</w:t>
      </w:r>
    </w:p>
    <w:p>
      <w:r>
        <w:rPr>
          <w:b/>
        </w:rPr>
        <w:t>E. 3.2</w:t>
      </w:r>
    </w:p>
    <w:p>
      <w:r>
        <w:t>Erleidet der Versicherte durch den Unfall eine dauernde erhebliche Schädigung der körperlichen, geistigen oder psychischen Integrität, so hat er nach Art. 24 Abs. 1 UVG Anspruch auf eine angemessene Integritätsentschädigung.</w:t>
      </w:r>
    </w:p>
    <w:p>
      <w:r>
        <w:rPr>
          <w:b/>
        </w:rPr>
        <w:t>E. 3.3</w:t>
      </w:r>
    </w:p>
    <w:p>
      <w:r>
        <w:t>Ist der Versicherte infolge des Unfalles zu mindestens 10 Prozent invalid, so hat er in Anwendung von Art. 18 Abs. 1 UVG Anspruch auf eine Invalidenrente.</w:t>
      </w:r>
    </w:p>
    <w:p>
      <w:r>
        <w:rPr>
          <w:b/>
        </w:rPr>
        <w:t>E. 3.4</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(sog. "prozessuale Revision"). Unrechtmässig bezogene Leistungen sind gemäss Art. 25 Abs. 1 ATSG zurückzuerstatten. Wer Leistungen in gutem Glauben empfangen hat, muss sie nicht zurückerstatten, wenn eine grosse Härte vorliegt.</w:t>
      </w:r>
    </w:p>
    <w:p>
      <w:r>
        <w:rPr>
          <w:b/>
        </w:rPr>
        <w:t>E. 4</w:t>
      </w:r>
    </w:p>
    <w:p>
      <w:r>
        <w:t>Sowohl der Anspruch des Versicherten auf eine Invalidenrente, als auch die Antwort auf die Frage, ob er Taggeld und Integritätsentschädigung teilweise zu Unrecht bezogen hat, hängt wesentlich davon ab, welcher Gebrauchswert seinem rechten Arm zukommt. Das kantonale Gericht hat insbesondere gestützt auf den Observationsbericht vom 3. Dezember 2013 und den Bericht des SUVA-Kreisarztes Dr. med. B.________, Orthopädische Chirurgie und Traumatologie des Bewegungsapparates FMH, vom 6. Februar 2014 festgestellt, dass der Versicherte seit dem 4. September 2013 in der Lage ist, einer angepassten Tätigkeit ganztägig nachzugehen. Unter angepasst versteht die Vorinstanz dabei mittelschwere Tätigkeiten einschliesslich dem Anheben von Gewichten vom Boden bis Beckenhöhe beidhändig mit 10 bis 20 kg so wie Tragen von Gewichten zwischen Hüft- und Schulterhöhe bis 10 kg. Auf den Bericht eines versicherungsinternen Arztes kann rechtsprechungsgemäss abgestellt werden, soweit auch keine geringen Zweifel an der Zuverlässigkeit und Schlüssigkeit seiner Feststellungen bestehen (vgl. BGE 135 V 465 E. 4.6 S. 471). Wie der Beschwerdeführer zutreffend vorbringt, können solche Zweifel im vorliegenden Fall, in dem sich die SUVA auf den Rückkommenstitel der prozessualen Revision beruft, nicht vollständig ausgeräumt werden. Der ohne neuerliche Untersuchung des Versicherten angefertigte Bericht des Kreisarztes vom 6. Februar 2014 steht unbestrittenermassen in einem klaren Widerspruch zu den älteren ärztlichen Beurteilungen. Es ist für den medizinischen Laien nicht nachvollziehbar, wie allein aus dem durch den Observationsbericht nachgewiesenen Gebrauch des rechten Armes beim Rauchen, beim Trinken oder beim Telefonieren auf ein gegenüber den Voruntersuchungen erheblich erhöhtes Traglimit geschlossen werden kann. Die Beschwerde des Versicherten ist somit teilweise gutzuheissen, der vorinstanzliche Entscheid ist aufzuheben und die Sache ist zur weiteren Abklärung des medizinischen Sachverhaltes mit Untersuchung des Beschwerdeführers an die SUVA zurückzuweisen.</w:t>
      </w:r>
    </w:p>
    <w:p>
      <w:r>
        <w:rPr>
          <w:b/>
        </w:rPr>
        <w:t>E. 5</w:t>
      </w:r>
    </w:p>
    <w:p>
      <w:r>
        <w:t>Das Verfahren ist kostenpflichtig ( Art. 65 Abs. 1 BGG ). Die Gerichtskosten werden der SUVA als unterliegender Partei auferlegt ( Art. 66 Abs. 1 BGG ). Sie hat dem Beschwerdeführer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