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8C_379/2010 vom 28. Februar 2011</w:t>
      </w:r>
    </w:p>
    <w:p>
      <w:r>
        <w:t>Bundesgericht, 2011-02-28, FR</w:t>
      </w:r>
    </w:p>
    <w:p>
      <w:r>
        <w:rPr>
          <w:b/>
        </w:rPr>
        <w:t xml:space="preserve">Quelle: </w:t>
      </w:r>
      <w:r>
        <w:t>https://mcp.opencaselaw.ch/entscheid/bger_8C_379_2010</w:t>
      </w:r>
    </w:p>
    <w:p>
      <w:r>
        <w:t>FR: TF 8C_379/2010 du 28 février 2011</w:t>
      </w:r>
    </w:p>
    <w:p>
      <w:r>
        <w:t>IT: TF 8C_379/2010 del 28 febbraio 2011</w:t>
      </w:r>
    </w:p>
    <w:p>
      <w:pPr>
        <w:pStyle w:val="Heading2"/>
      </w:pPr>
      <w:r>
        <w:t>Erwägungen</w:t>
      </w:r>
    </w:p>
    <w:p>
      <w:r>
        <w:rPr>
          <w:b/>
        </w:rPr>
        <w:t>E. 1.1</w:t>
      </w:r>
    </w:p>
    <w:p>
      <w:r>
        <w:t>Le droit à l'indemnité de chômage suppose notamment que l'assuré soit sans emploi ou partiellement sans emploi ( art. 8 al. 1 let. a LACI ). Est réputé sans emploi celui qui n'est pas partie à un rapport de travail et qui cherche à exercer une activité à plein temps ( art. 10 al. 1 LACI ), tandis qu'est réputé partiellement sans emploi notamment celui qui occupe un emploi à temps partiel et cherche à le remplacer par une activité à plein temps ou à le compléter par une autre activité à temps partiel ( art. 10 al. 2 let. b LACI ).</w:t>
      </w:r>
    </w:p>
    <w:p>
      <w:r>
        <w:t>En outre, le droit à l'indemnité suppose que l'assuré ait subi une perte de travail à prendre en considération ( art. 8 al. 1 let. b LACI ). Selon l' art. 11 al. 1 LACI , la perte de travail doit être prise en considération lorsqu'elle se traduit par un manque à gagner et dure au moins deux journées de travail consécutives.</w:t>
      </w:r>
    </w:p>
    <w:p>
      <w:r>
        <w:rPr>
          <w:b/>
        </w:rPr>
        <w:t>E. 1.2</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 ATF 107 V 59 consid. 1 p. 61; SVR 2006 AlV no 29 p. 99, C 9/06 consid. 1.2 et 1.3; DTA 1998 no 20 p. 98, C 281/97 consid. 2a et les références).</w:t>
      </w:r>
    </w:p>
    <w:p>
      <w:r>
        <w:rPr>
          <w:b/>
        </w:rPr>
        <w:t>E. 2.1</w:t>
      </w:r>
    </w:p>
    <w:p>
      <w:r>
        <w:t>Pour trancher le point de savoir si l'activité exercée était suffisamment régulière au sens de la jurisprudence précitée, la caisse de chômage et la juridiction cantonale se sont fondées sur la période de douze mois qui a immédiatement précédé la date à partir de laquelle l'indemnité de chômage a été demandée (juillet 2006 à juin 2007). Elles se sont référées pour cela aux ch. B95 ss concernant le contrat de travail sur appel de la circulaire relative à l'indemnité de chômage (IC) publiée par le seco, dans sa teneur en vigueur depuis le 1er janvier 2007. Selon le ch. B96,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(ch. B97).</w:t>
      </w:r>
    </w:p>
    <w:p>
      <w:r>
        <w:t>Constatant que les fluctuations mensuelles dépassaient à neuf reprises le taux de 20 %, en plus ou en moins, du nombre moyen obtenu sur la période de référence de douze mois, la juridiction cantonale a considéré que l'activité n'avait pas été suffisamment régulière pour qu'une perte de travail puisse être prise en considération.</w:t>
      </w:r>
    </w:p>
    <w:p>
      <w:r>
        <w:rPr>
          <w:b/>
        </w:rPr>
        <w:t>E. 2.2.1</w:t>
      </w:r>
    </w:p>
    <w:p>
      <w:r>
        <w:t>Par un premier moyen, le recourant met en cause la référence à une période de douze mois pour trancher le point de savoir si l'activité exercée était suffisamment régulière. Invoquant l'arrêt SVR 2006 AlV no 29 p. 99, C 9/06, déjà cité, il fait valoir qu'une telle période n'est pas applicable dès lors qu'en l'occurrence, il a travaillé en qualité d'interprète au service de Y.________ depuis 1989, soit pendant plus de 20 ans, même si son statut a changé durant les années à deux reprises à l'initiative de l'employeur. Selon le recourant, il suffit de constater que son activité professionnelle a été réduite, indépendamment de sa volonté, depuis le mois de juillet 2007 d'environ 54 % par rapport aux six premiers mois de l'année, comme l'a clairement confirmé son employeur; cette baisse brutale intervenue dans un rapport de travail régulier et de longue durée suffit, selon l'intéressé, pour démontrer l'existence d'une perte de travail à prendre en considération.</w:t>
      </w:r>
    </w:p>
    <w:p>
      <w:r>
        <w:rPr>
          <w:b/>
        </w:rPr>
        <w:t>E. 2.2.2</w:t>
      </w:r>
    </w:p>
    <w:p>
      <w:r>
        <w:t>Dans l'arrêt invoqué par le recourant, le Tribunal fédéral des assurances a jugé que la période de douze mois fixée par la circulaire du seco était en principe compatible avec les dispositions légales et réglementaires, ainsi qu'avec la jurisprudence, dès lors qu'elle apparaissait appropriée pour des relations de travail relativement courtes. Dans le cas de rapports de travail s'étendant sur plusieurs années, il a considéré toutefois qu'il convenait de prendre en compte le nombre d'heures de travail annuel et les fluctuations par rapport à la moyenne annuelle (SVR 2006 AlV no 29 p. 99, C 9/06 consid. 3.3).</w:t>
      </w:r>
    </w:p>
    <w:p>
      <w:r>
        <w:rPr>
          <w:b/>
        </w:rPr>
        <w:t>E. 2.2.3</w:t>
      </w:r>
    </w:p>
    <w:p>
      <w:r>
        <w:t>En l'espèce, la juridiction cantonale a constaté que durant la période de 1999 au mois d'avril 2005, le recourant avait exercé son activité habituelle pour X.________ en qualité d'indépendant. La durée de son activité de salarié au service de X.________ avait donc été d'un peu plus de deux ans avant la perte de travail alléguée (avril 2005 à juin 2007). Quant à son activité au service de Z.________ - dont le salaire a aussi été pris en compte pour déterminer la perte de travail éventuelle - elle a débuté seulement le 1er janvier 2006. Dans ces conditions, on ne saurait admettre que les rapports de travail ont duré assez longtemps pour s'écarter du principe selon lequel la période de référence de douze mois suffit pour établir le temps de travail normal. Au demeurant, il ressort du jugement attaqué que la rémunération horaire pour l'activité indépendante était plus élevée que le salaire horaire et que les variations de rémunération d'une année à l'autre sont d'une telle ampleur que la méthode de calcul préconisée par le recourant ne permettrait pas non plus d'admettre l'existence d'une activité régulière. La référence à une période de douze mois n'est dès lors pas critiquable.</w:t>
      </w:r>
    </w:p>
    <w:p>
      <w:r>
        <w:rPr>
          <w:b/>
        </w:rPr>
        <w:t>E. 2.3</w:t>
      </w:r>
    </w:p>
    <w:p>
      <w:r>
        <w:t>Par un deuxième moyen, le recourant conteste l'applicabilité à son cas des ch. B95 ss de la circulaire du seco, en alléguant qu'il était obligé d'accepter les missions proposées, ne s'estimant pas en droit de refuser les offres qui lui sont faites par ses employeurs.</w:t>
      </w:r>
    </w:p>
    <w:p>
      <w:r>
        <w:t>Ce moyen est mal fondé. La jurisprudence considère en effet que la méthode d'évaluation du seco est appropriée en ce qui concerne les contrats de travail sur appel d'une durée relativement courte (cf. consid. 2.2.2 supra). Or, le contrat de travail sur appel est caractérisé précisément par le fait que le travailleur s'y oblige à exercer l'activité exigée chaque fois que l'employeur requiert ses services (BRUNNER/BÜHLER/WAEBER/BRUCHEZ, Commentaire du contrat de travail, 3ème éd., 2004, n. 6 p. 409; PHILIPPE CARRUZZO, Le contrat individuel de travail, 2009, n. 13 ad art. 319 CO ). Si, au contraire, le travailleur n'est pas obligé d'accepter les missions proposées, le rapport obligationnel n'est pas durable et on parle alors de rapports de travail auxiliaire ou occasionnel (REHBINDER/STÖCKLI, Berner Kommentar, 3ème éd. 2010, n. 35 ad art. 319). Au demeurant, de tels rapports sont soumis aux mêmes règles que le travail sur appel lorsqu'il s'agit d'examiner une perte de travail éventuelle (arrêt du Tribunal fédéral des assurances C 319/96 du 31 janvier 1997 consid. 4b). Le grief du recourant doit ainsi être écarté.</w:t>
      </w:r>
    </w:p>
    <w:p>
      <w:r>
        <w:rPr>
          <w:b/>
        </w:rPr>
        <w:t>E. 2.4</w:t>
      </w:r>
    </w:p>
    <w:p>
      <w:r>
        <w:t>Par un troisième moyen, le recourant fait valoir que le calcul des fluctuations effectué par la juridiction cantonale ne tient pas compte du fait qu'il a perçu au cours de certains mois - par exemple au mois d'août 2006 - une rémunération pour un travail effectué dans le cadre d'une mission accomplie sur plusieurs mois.</w:t>
      </w:r>
    </w:p>
    <w:p>
      <w:r>
        <w:t>En vertu de l' art. 42 LTF , la partie qui invoque un fait devant être prouvé ne peut se contenter d'alléguer ce fait, mais elle doit aussi mentionner le moyen de preuve propre à l'établir (FLORENCE AUBRY GIRARDIN, Commentaire de la LTF, 2009, n. 45 ad art. 42). Cette exigence est d'autant plus stricte lorsque le recourant critique les constatations de fait contenues dans la décision attaquée, qui lient le Tribunal fédéral (art. 97 al. 1 et 105 al. 1 et 2 LTF; BERNARD CORBOZ, Commentaire de la LTF, 2009, n. 19 ad art. 97). Le grief du recourant n'est dès lors pas recevable.</w:t>
      </w:r>
    </w:p>
    <w:p>
      <w:r>
        <w:rPr>
          <w:b/>
        </w:rPr>
        <w:t>E. 2.5</w:t>
      </w:r>
    </w:p>
    <w:p>
      <w:r>
        <w:t>Enfin, en ce qui concerne le grief selon lequel le calcul des fluctuations effectué par la juridiction cantonale ne tient pas compte des vacances et des jours fériés, il est manifestement infondé. Renvoi soit à cet égard à l'argumentation convaincante du jugement attaqué.</w:t>
      </w:r>
    </w:p>
    <w:p>
      <w:r>
        <w:rPr>
          <w:b/>
        </w:rPr>
        <w:t>E. 2.6</w:t>
      </w:r>
    </w:p>
    <w:p>
      <w:r>
        <w:t>Vu ce qui précède, le jugement entrepris n'est pas critiquable et le recours se révèle mal fondé.</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