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8C_378/2025 vom 26. Juli 2025</w:t>
      </w:r>
    </w:p>
    <w:p>
      <w:r>
        <w:t>Bundesgericht, 2025-07-26, DE</w:t>
      </w:r>
    </w:p>
    <w:p>
      <w:r>
        <w:rPr>
          <w:b/>
        </w:rPr>
        <w:t xml:space="preserve">Quelle: </w:t>
      </w:r>
      <w:r>
        <w:t>https://mcp.opencaselaw.ch/entscheid/bger_8C_378_2025</w:t>
      </w:r>
    </w:p>
    <w:p>
      <w:r>
        <w:t>FR: TF 8C_378/2025 du 26 juillet 2025</w:t>
      </w:r>
    </w:p>
    <w:p>
      <w:r>
        <w:t>IT: TF 8C_378/2025 del 26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8C_378/2025</w:t>
      </w:r>
    </w:p>
    <w:p>
      <w:r>
        <w:t>Urteil vom 26. Juli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des Kantons Bern, Abteilung Ergänzungsleistungen, Chutzenstrasse 10, 3007 Bern,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das Urteil des Verwaltungsgerichts des Kantons Bern vom 14. Mai 2025 (EL 200 2024 828).</w:t>
      </w:r>
    </w:p>
    <w:p>
      <w:r>
        <w:t>Nach Einsicht</w:t>
      </w:r>
    </w:p>
    <w:p>
      <w:r>
        <w:t>in die Beschwerde vom 22. Juni 2025 (Poststempel) gegen das Urteil des Verwaltungsgerichts des Kantons Bern vom 14. Mai 2025,</w:t>
      </w:r>
    </w:p>
    <w:p>
      <w:r>
        <w:t>in Erwägung,</w:t>
      </w:r>
    </w:p>
    <w:p>
      <w:r>
        <w:t>dass die Beschwerdeführerin den ihr vom Gericht gemäss Art. 42 Abs. 5 BGG angezeigten Formmangel der fehlenden Beilagen (unvollständiger angefochtener Entscheid) nicht innerhalb der mit Verfügung vom 25. Juni 2025 angesetzten, am 7. Juli 2025 abgelaufenen ( Art. 44 - 48 BGG ) Nachfrist behoben hat; die entsprechende Eingabe wurde erst am 8. Juli 2025 der schweizerischen Post übergeben,</w:t>
      </w:r>
    </w:p>
    <w:p>
      <w:r>
        <w:t>dass abgesehen davon die Beschwerde den minimalen Anforderungen an Antrag und Begründung gemäss Art. 42 Abs. 1 und 2 BGG nicht genügt, zumal die Beschwerdeführerin letztinstanzlich einzig die Ausrichtung von Ergänzungsleistungen für die Jahre 2021 bis 2024 beantragt, ohne zugleich aufzuzeigen, inwiefern das diesbezügliche vorinstanzliche Nichteintreten - weil ausserhalb des durch den angefochtenen Einspracheentscheid vom 27. November 2024 vorgegebenen Streitgegenstand liegend - Bundesrecht verletzen soll (vgl. BGE 123 V 335 ),</w:t>
      </w:r>
    </w:p>
    <w:p>
      <w:r>
        <w:t>dass deshalb im vereinfachten Verfahren nach Art. 108 Abs. 1 lit. a und b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26. Juli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