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8C_378/2023 vom 5. Juli 2023</w:t>
      </w:r>
    </w:p>
    <w:p>
      <w:r>
        <w:t>Bundesgericht, 2023-07-05, DE</w:t>
      </w:r>
    </w:p>
    <w:p>
      <w:r>
        <w:rPr>
          <w:b/>
        </w:rPr>
        <w:t xml:space="preserve">Quelle: </w:t>
      </w:r>
      <w:r>
        <w:t>https://mcp.opencaselaw.ch/entscheid/bger_8C_378_2023</w:t>
      </w:r>
    </w:p>
    <w:p>
      <w:r>
        <w:t>FR: TF 8C_378/2023 du 5 juillet 2023</w:t>
      </w:r>
    </w:p>
    <w:p>
      <w:r>
        <w:t>IT: TF 8C_378/2023 del 5 luglio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8C_378/2023</w:t>
      </w:r>
    </w:p>
    <w:p>
      <w:r>
        <w:t>Verfügung vom 5. Juli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vertreten durch Rechtsanwältin Bettina Surber,</w:t>
      </w:r>
    </w:p>
    <w:p>
      <w:r>
        <w:t>Beschwerdeführerin,</w:t>
      </w:r>
    </w:p>
    <w:p>
      <w:r>
        <w:t>gegen</w:t>
      </w:r>
    </w:p>
    <w:p>
      <w:r>
        <w:t>IV-Stelle des Kantons St. Gallen,</w:t>
      </w:r>
    </w:p>
    <w:p>
      <w:r>
        <w:t>Brauerstrasse 54, 9016 St. Gallen,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St. Gallen vom 6. April 2023 (IV 2021/230).</w:t>
      </w:r>
    </w:p>
    <w:p>
      <w:r>
        <w:t>Nach Einsicht</w:t>
      </w:r>
    </w:p>
    <w:p>
      <w:r>
        <w:t>in das Schreiben vom 3. Juli 2023, worin A.________ die Beschwerde vom 5. Juni 2023 (Poststempel) gegen den Entscheid des Versicherungsgerichts des Kantons St. Gallen vom 6. April 2023 zurückziehen lässt,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Versicherungsgericht des Kantons St. Gallen und dem Bundesamt für Sozialversicherungen schriftlich mitgeteilt.</w:t>
      </w:r>
    </w:p>
    <w:p>
      <w:r>
        <w:t>Luzern, 5. Juli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