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8C_376/2024 vom 4. September 2024</w:t>
      </w:r>
    </w:p>
    <w:p>
      <w:r>
        <w:t>Bundesgericht, 2024-09-04, DE</w:t>
      </w:r>
    </w:p>
    <w:p>
      <w:r>
        <w:rPr>
          <w:b/>
        </w:rPr>
        <w:t xml:space="preserve">Quelle: </w:t>
      </w:r>
      <w:r>
        <w:t>https://mcp.opencaselaw.ch/entscheid/bger_8C_376_2024</w:t>
      </w:r>
    </w:p>
    <w:p>
      <w:r>
        <w:t>FR: TF 8C_376/2024 du 4 septembre 2024</w:t>
      </w:r>
    </w:p>
    <w:p>
      <w:r>
        <w:t>IT: TF 8C_376/2024 del 4 settembre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Nichteintretensentscheiden praxisgemäss eine spezifische Auseinandersetzung mit den Nichteintretensgründen ( BGE 123 V 335 ).</w:t>
      </w:r>
    </w:p>
    <w:p>
      <w:r>
        <w:rPr>
          <w:b/>
        </w:rPr>
        <w:t>E. 2</w:t>
      </w:r>
    </w:p>
    <w:p>
      <w:r>
        <w:t>Die Vorinstanz trat im Entscheid vom 8. Mai 2024 auf die gegen die Verfügung der Beschwerdegegnerin vom 14. Februar 2024 gerichtete Beschwerde wegen innert gesetzter Nachfrist ausgebliebener Verbesserung (Anträge, Begründung, eigenhändige Unterschrift) wie auch ausgebliebenem Kostenvorschuss nicht ein.</w:t>
      </w:r>
    </w:p>
    <w:p>
      <w:r>
        <w:rPr>
          <w:b/>
        </w:rPr>
        <w:t>E. 3</w:t>
      </w:r>
    </w:p>
    <w:p>
      <w:r>
        <w:t>Damit setzt sich die Beschwerdeführerin nicht ansatzweise auseinander. Allein die Lebensumstände zu schildern und um Unterstützung zu bitten,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