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8C_376/2016 vom 9. Juni 2016</w:t>
      </w:r>
    </w:p>
    <w:p>
      <w:r>
        <w:t>Bundesgericht, 2016-06-09, DE</w:t>
      </w:r>
    </w:p>
    <w:p>
      <w:r>
        <w:rPr>
          <w:b/>
        </w:rPr>
        <w:t xml:space="preserve">Quelle: </w:t>
      </w:r>
      <w:r>
        <w:t>https://mcp.opencaselaw.ch/entscheid/bger_8C_376_2016</w:t>
      </w:r>
    </w:p>
    <w:p>
      <w:r>
        <w:t>FR: TF 8C_376/2016 du 9 juin 2016</w:t>
      </w:r>
    </w:p>
    <w:p>
      <w:r>
        <w:t>IT: TF 8C_376/2016 del 9 giugno 2016</w:t>
      </w:r>
    </w:p>
    <w:p>
      <w:pPr>
        <w:pStyle w:val="Heading2"/>
      </w:pPr>
      <w:r>
        <w:t>Volltext</w:t>
      </w:r>
    </w:p>
    <w:p>
      <w:r>
        <w:t>Bundesgericht</w:t>
      </w:r>
    </w:p>
    <w:p>
      <w:r>
        <w:t>Tribunal fédéral</w:t>
      </w:r>
    </w:p>
    <w:p>
      <w:r>
        <w:t>Tribunale federale</w:t>
      </w:r>
    </w:p>
    <w:p>
      <w:r>
        <w:t>Tribunal federal</w:t>
      </w:r>
    </w:p>
    <w:p>
      <w:r>
        <w:t>{T 0/2}</w:t>
      </w:r>
    </w:p>
    <w:p>
      <w:r>
        <w:t>8C_376/2016</w:t>
      </w:r>
    </w:p>
    <w:p>
      <w:r>
        <w:t>Urteil vom 9. Juni 2016</w:t>
      </w:r>
    </w:p>
    <w:p>
      <w:r>
        <w:t>I. sozialrechtliche Abteilung</w:t>
      </w:r>
    </w:p>
    <w:p>
      <w:r>
        <w:t>Besetzung</w:t>
      </w:r>
    </w:p>
    <w:p>
      <w:r>
        <w:t>Bundesrichter Maillard, Präsident,</w:t>
      </w:r>
    </w:p>
    <w:p>
      <w:r>
        <w:t>Gerichtsschreiberin Berger Götz.</w:t>
      </w:r>
    </w:p>
    <w:p>
      <w:r>
        <w:t>Verfahrensbeteiligte</w:t>
      </w:r>
    </w:p>
    <w:p>
      <w:r>
        <w:t>A.________,</w:t>
      </w:r>
    </w:p>
    <w:p>
      <w:r>
        <w:t>vertreten durch B.________,</w:t>
      </w:r>
    </w:p>
    <w:p>
      <w:r>
        <w:t>Beschwerdeführerin,</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2. Mai 2016.</w:t>
      </w:r>
    </w:p>
    <w:p>
      <w:r>
        <w:t>Nach Einsicht</w:t>
      </w:r>
    </w:p>
    <w:p>
      <w:r>
        <w:t>in die Beschwerde vom 26. Mai 2016 (Poststempel) gegen den Entscheid des Verwaltungsgerichts des Kantons Bern vom 2. Mai 2016, mit dem auf das Rechtsmittel der Versicherten zufolge ihres mangelnden Beschwerdewillens nicht eingetreten wurde,</w:t>
      </w:r>
    </w:p>
    <w:p>
      <w:r>
        <w:t>in die Mitteilung des Bundesgerichts vom 27. Mai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 Juni 2016eingereichte Eingabe,</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134 II 244 E. 2.1 f. S. 245 f.; 131 II 449 E. 1.3 S. 452; 123 V 335 E. 1 S. 337 f. mit Hinweisen),</w:t>
      </w:r>
    </w:p>
    <w:p>
      <w:r>
        <w:t>dass nach der Rechtsprechung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w:t>
      </w:r>
    </w:p>
    <w:p>
      <w:r>
        <w:t>dass die Eingaben vom 26. Mai 2016 und 1. Juni 2016 den vorerwähnten Anforderungen mit Bezug auf ein rechtsgenügliches Begehren sowie eine sachbezogene Begründung klarerweise nicht gerecht werden, da sie sich in keiner Weise mit der prozessualen Erledigung durch die Vorinstanz auseinandersetzen und insbesondere nicht darlegen,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 weshalb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9. Juni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