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8C_375/2014 vom 10. Februar 2015</w:t>
      </w:r>
    </w:p>
    <w:p>
      <w:r>
        <w:t>Bundesgericht, 2015-02-10, DE</w:t>
      </w:r>
    </w:p>
    <w:p>
      <w:r>
        <w:rPr>
          <w:b/>
        </w:rPr>
        <w:t xml:space="preserve">Quelle: </w:t>
      </w:r>
      <w:r>
        <w:t>https://mcp.opencaselaw.ch/entscheid/bger_8C_375_2014</w:t>
      </w:r>
    </w:p>
    <w:p>
      <w:r>
        <w:t>FR: TF 8C_375/2014 du 10 février 2015</w:t>
      </w:r>
    </w:p>
    <w:p>
      <w:r>
        <w:t>IT: TF 8C_375/2014 del 10 febbraio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einen Rentenanspruch der Versicherten verneinte.</w:t>
      </w:r>
    </w:p>
    <w:p>
      <w:r>
        <w:rPr>
          <w:b/>
        </w:rPr>
        <w:t>E. 3.1</w:t>
      </w:r>
    </w:p>
    <w:p>
      <w:r>
        <w:t>Das kantonale Gericht hat in umfassender Würdigung der medizinischen Akten, insbesondere aber gestützt auf das Gutachten des Zentrums B.________ vom 20. Juli 2011 für das Bundesgericht grundsätzlich verbindlich festgestellt, dass die Beschwerdeführerin ab Geburt des dritten Kindes am 17. Oktober 2003 während längstens zwölf Monaten unter einer Puerperalpsychose litt. Seither bestehen dissoziative Krampfanfälle (ICD-10: F44.5) und ab dem Zeitpunkt der Begutachtung im März 2011 ist von dissoziativen Störungen (Konversionsstörungen), gemischt (ICD-10: F 44.7) auszugehen. Das Vorliegen einer posttraumatischen Belastungsstörung (ICD-10: F43.2) wurde von der Vorinstanz explizit verneint. Was die Versicherte gegen diese Feststellungen vorbringt, vermag diese nicht als bundesrechtswidrig erscheinen zu lassen. Die von ihr angerufenen Berichte der Dr. med. C.________, psychiatrische Dienste, vom 10. Mai 2010 und vom 28. Januar 2014 enthalten keine konkreten Indizien, welche gegen die Zuverlässigkeit des Gutachtens des Zentrums B.________ sprechen würden. Insbesondere muss auch Dr. med. C.________ einräumen, dass die Diagnosekriterien für eine posttraumatische Belastungsstörung nach ICD-10 bei der Versicherten nicht vollständig gegeben waren bzw. sind. Zudem wird aufgrund dieser Schreiben nicht deutlich, ob Dr. med. C.________ lediglich initial von einer entsprechenden Störung ausgeht, oder ob sie die Diagnose einer posttraumatischen Belastungsstörung auch für die vorliegend relevante Zeit nach Ablauf des Wartejahres noch stellen würde.</w:t>
      </w:r>
    </w:p>
    <w:p>
      <w:r>
        <w:rPr>
          <w:b/>
        </w:rPr>
        <w:t>E. 3.2</w:t>
      </w:r>
    </w:p>
    <w:p>
      <w:r>
        <w:t>Das kantonale Gericht hat weiter erwogen, die nach Ablauf des Wartejahres anhaltend bestehenden gesundheitlichen Beeinträchtigungen der Versicherten gehörten zu jenen Beschwerdebildern, bei denen eine Überwindbarkeit der durch sie bedingten Einschränkungen in der Arbeitsfähigkeit zu vermuten sei und die sich nur in Ausnahmefällen, bei Vorliegen bestimmter "Kriterien" (vgl. BGE 130 V 352 E. 2.2.3 S. 353 ff.), invalidisierend auswirken würden. Dies entspricht der bundesgerichtlichen Rechtsprechung (vgl. Urteile 8C_311/2013 vom 2. Dezember 2013 E. 4 und 8C_195/2014 vom 12. Juni 2014 E. 4). Auch eine posttraumatische Belastungsstörung könnte sich nur nach den Voraussetzungen von BGE 130 V 352 invalidisierend auswirken (vgl. Urteil 8C_483/2012 vom 4. Dezember 2012 E. 4 mit zahlreichen weiteren Hinweisen).</w:t>
      </w:r>
    </w:p>
    <w:p>
      <w:r>
        <w:rPr>
          <w:b/>
        </w:rPr>
        <w:t>E. 3.3</w:t>
      </w:r>
    </w:p>
    <w:p>
      <w:r>
        <w:t>Da nach den für das Bundesgericht verbindlichen vorinstanzlichen Feststellungen die Beschwerdeführerin nicht an einer posttraumatischen Belastungsstörung leidet (vgl. auch E. 3.1 hievor), besteht neben ihren Leiden aus dem dissoziativen Formenkreis keine relevante psychische Komorbidität im Sinne von BGE 130 V 352 E. 2.2.3 S. 353 ff. Das kantonale Gericht hat somit nicht gegen Bundesrecht verstossen, als es den invalidisierenden Charakter der dissoziativen Leiden der Versicherten verneinte; ihre Beschwerde ist somit abzuweisen.</w:t>
      </w:r>
    </w:p>
    <w:p>
      <w:r>
        <w:rPr>
          <w:b/>
        </w:rPr>
        <w:t>E. 4.1</w:t>
      </w:r>
    </w:p>
    <w:p>
      <w:r>
        <w:t>Das Verfahren ist kostenpflichtig ( Art. 65 BGG ). Aufgrund des Verfahrensausganges hat die Beschwerdeführerin die Kosten zu tragen ( Art. 66 Abs. 1 BGG ).</w:t>
      </w:r>
    </w:p>
    <w:p>
      <w:r>
        <w:rPr>
          <w:b/>
        </w:rPr>
        <w:t>E. 4.2</w:t>
      </w:r>
    </w:p>
    <w:p>
      <w:r>
        <w:t>Dem Gesuch der Beschwerdeführerin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