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8C_375/2012 vom 30. April 2013</w:t>
      </w:r>
    </w:p>
    <w:p>
      <w:r>
        <w:t>Bundesgericht, 2013-04-30, FR</w:t>
      </w:r>
    </w:p>
    <w:p>
      <w:r>
        <w:rPr>
          <w:b/>
        </w:rPr>
        <w:t xml:space="preserve">Quelle: </w:t>
      </w:r>
      <w:r>
        <w:t>https://mcp.opencaselaw.ch/entscheid/bger_8C_375_2012</w:t>
      </w:r>
    </w:p>
    <w:p>
      <w:r>
        <w:t>FR: TF 8C_375/2012 du 30 avril 2013</w:t>
      </w:r>
    </w:p>
    <w:p>
      <w:r>
        <w:t>IT: TF 8C_375/2012 del 30 aprile 2013</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Il n'y a dès lors pas lieu d'entrer en matière sur le recours constitutionnel subsidiaire interjeté par la recourante.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La juridiction cantonale a constaté que le travail pour lequel la recourante devait être formée pendant son mois de stage était détaillé dans le contrat qu'elle avait conclu. Il en allait ainsi, en particulier, du nombre de "cours d'esthétique" à prodiguer chaque jour et du nombre de parrainage à obtenir par cliente. A supposer qu'elle n'ait pris conscience que tardivement qu'elle ne parviendrait probablement pas à tenir ces exigences, elle aurait dû exposer ses craintes à son conseiller ORP et décider avec lui des dispositions à prendre. Au lieu de quoi, elle a mis un terme à sa formation le 1er mars, après un seul jour de cours, sans avoir, préalablement, obtenu la garantie des organes de l'assurance-chômage que l'abandon de sa formation ne lui serait pas préjudiciable. Sa manière de faire n'était pas conforme à ce qui pouvait raisonnablement être exigé d'une personne capable de discernement dans une situation identique. Dans la mesure où, au moment du versement, le 28 mars 2011, la recourante savait ou devait savoir, en faisant preuve de l'attention requise, que les indemnités journalières perçues pour le mois de mars 2011 étaient peut-être indues, sa bonne foi devait être exclue d'emblée.</w:t>
      </w:r>
    </w:p>
    <w:p>
      <w:r>
        <w:rPr>
          <w:b/>
        </w:rPr>
        <w:t>E. 4</w:t>
      </w:r>
    </w:p>
    <w:p>
      <w:r>
        <w:t>Sur le plan formel, la recourante se plaint d'une violation de son droit d'être entendue pour défaut de motivation du jugement attaqué, en tant que plusieurs arguments soulevés dans son mémoire de recours n'auraient pas été examinés ou n'auraient pas fait l'objet d'une administration de preuves.</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137 II 266 consid. 3.2 p. 270;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4.2</w:t>
      </w:r>
    </w:p>
    <w:p>
      <w:r>
        <w:t>S'il semble effectivement que plusieurs arguments valablement présentés par la recourante n'ont pas été discutés par la juridiction cantonale, la question de savoir si cette omission éventuelle est constitutive d'une violation du droit d'être entendu peut demeurer indécise. Dans la mesure où il porte sur le résultat de l'appréciation des preuves, le grief de violation du droit d'être entendu se confond avec celui de constatation manifestement inexacte des faits pertinents, que la recourante soulève également. Il sera examiné avec le fond du litige.</w:t>
      </w:r>
    </w:p>
    <w:p>
      <w:r>
        <w:rPr>
          <w:b/>
        </w:rPr>
        <w:t>E. 5.1</w:t>
      </w:r>
    </w:p>
    <w:p>
      <w:r>
        <w:t>Sur le fond, la recourante reproche à la juridiction cantonale d'avoir procédé à une constatation manifestement inexacte des faits pertinents, consécutive à une mauvaise appréciation des preuves, et d'avoir violé le droit fédéral. En substance, elle estime que la juridiction cantonale aurait commis arbitraire en considérant qu'elle avait fait preuve de mauvaise foi, le comportement qui pouvait lui être reproché devant tout au plus être qualifié de négligence légère. Elle souligne que c'est l'inadéquation entre la teneur du contrat de travail et la réalité des faits qui l'avait contrainte à mettre un terme à son activité. Compte tenu de son état de santé, on ne pouvait raisonnablement attendre d'elle qu'elle accepte la modification unilatérale du contrat - portant sur les horaires de travail - opérée par l'employeur le premier jour de sa formation. Tout au plus pouvait-on lui reprocher de n'avoir pas consulté préalablement les organes de l'assurance-chômage avant de mettre un terme au stage de formation. Son comportement devait toutefois être relativisé, puisqu'elle avait immédiatement prévenu, tant par téléphone que par courrier, la Caisse de chômage Syna - autorité qu'elle tenait pour compétente pour recevoir ce genre de déclarations - qu'elle avait décidé de ne pas se représenter sur son lieu de travail. Or, cette autorité ne l'avait jamais informée qu'elle risquait d'être sanctionnée en raison de ce comportement, ni enjointe à s'en référer à son conseiller ORP.</w:t>
      </w:r>
    </w:p>
    <w:p>
      <w:r>
        <w:rPr>
          <w:b/>
        </w:rPr>
        <w:t>E. 5.2.1</w:t>
      </w:r>
    </w:p>
    <w:p>
      <w:r>
        <w:t>En vertu de l'art. 25 al. 1, 2ème phrase, LPGA, la restitution ne peut être exigée lorsque l'intéressé était de bonne foi et qu'elle le mettrait dans une situation difficile (voir également art. 4 al. 1 de l'ordonnance du 11 septembre 2002 sur la partie générale du droit des assurances sociales [OPGA; RS 830.11]).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 ATF 138 V 218 consid. 4 p. 220; 112 V 97 consid. 2c p. 103; 110 V 176 consid. 3c p. 180). Il y a négligence grave quand un ayant droit ne se conforme pas à ce qui peut raisonnablement être exigé d'une personne capable de discernement dans une situation identique et dans les mêmes circonstances ( ATF 110 V 176 consid. 3d p. 181). On ajoutera que la bonne foi doit être niée quand l'enrichi pouvait, au moment du versement, s'attendre à son obligation de restituer, parce qu'il savait ou devait savoir, en faisant preuve de l'attention requise, que la prestation était indue ( art. 3 al. 2 CC ; ATF 130 V 414 consid. 4.3 p. 419 sv et les références).</w:t>
      </w:r>
    </w:p>
    <w:p>
      <w:r>
        <w:rPr>
          <w:b/>
        </w:rPr>
        <w:t>E. 5.2.2</w:t>
      </w:r>
    </w:p>
    <w:p>
      <w:r>
        <w:t>L'examen de l'attention exigible d'un ayant droit qui invoque sa bonne foi relève du droit et le Tribunal fédéral revoit librement ce point ( ATF 122 V 221 consid. 3 p. 223; 102 V 245 consid. b p. 246).</w:t>
      </w:r>
    </w:p>
    <w:p>
      <w:r>
        <w:rPr>
          <w:b/>
        </w:rPr>
        <w:t>E. 5.3</w:t>
      </w:r>
    </w:p>
    <w:p>
      <w:r>
        <w:t>En l'espèce, la juridiction cantonale a retenu que la recourante avait commis une négligence grave en n'obtenant pas l'assurance des organes de l'assurance-chômage que l'abandon de sa fonction ne lui serait pas préjudiciable. La motivation de la juridiction cantonale se trouve toutefois en contradiction avec les objections formulées par la recourante au cours de la procédure de première instance et reprises dans le cadre du présent recours en matière de droit public. En effet, la recourante avait soutenu avoir informé la Caisse de chômage Syna du fait qu'elle avait mis un terme aux rapports de travail avec son employeur, laquelle ne l'aurait en retour pas informée des sanctions qu'elle encourait. Traduits en termes juridiques, la recourante estimait avoir respecté son devoir d'annoncer (art. 28 al. 2 et 31 al. 1 LPGA), tandis que la Caisse de chômage Syna avait violé de son côté son devoir de conseil ( art. 27 al. 2 LPGA et art. 19a OACI ). Les déclarations de la recourante étaient par ailleurs corroborées par les pièces du dossier, dès lors qu'il en ressortait clairement que la Caisse de chômage Syna avait réceptionné le 1er mars 2011 une copie du courrier que la recourante avait adressé à son employeur pour l'informer qu'elle mettait un terme au stage de formation. Dans ces conditions, il appartenait à la juridiction cantonale d'expliquer les raisons pour lesquelles elle estimait, implicitement, que les déclarations faites auprès de la caisse de chômage ne pouvaient pas lier les autres organes d'exécution de l'assurance-chômage et qu'il n'existait aucune obligation de la part de la caisse de chômage d'informer la recourante des conséquences de son acte. De plus, il convient d'observer que la juridiction cantonale n'a pas prêté attention à plusieurs allégations de la recourante qui, prises dans leur ensemble, pouvaient permettre, si elles étaient avérées, d'expliquer (et d'excuser) le comportement de la recourante (réserves émises à la fois par le conseiller ORP de la recourante et par la Caisse de chômage Syna quant à l'opportunité de la reprise d'un emploi auprès de l'employeur concerné; divergences entre le contrat de travail et les exigences posées concrètement par l'employeur; réaction compréhensive du responsable de la Caisse de chômage Syna lorsqu'il a appris la fin du stage).</w:t>
      </w:r>
    </w:p>
    <w:p>
      <w:r>
        <w:rPr>
          <w:b/>
        </w:rPr>
        <w:t>E. 5.4</w:t>
      </w:r>
    </w:p>
    <w:p>
      <w:r>
        <w:t>Le jugement attaqué repose sur une analyse incomplète de la situation, puisqu'il passe sous silence, alors même qu'ils avaient été correctement allégués en première instance, plusieurs éléments qui étaient susceptibles d'établir la bonne foi de la recourante. Dans la mesure où il viole le droit matériel ( ATF 134 V 53 consid. 4.3 p. 62), l'arrêt attaqué doit par conséquent être annulé et la cause renvoyée à la juridiction cantonale pour qu'elle rende une nouvelle décision, en procédant au besoin aux actes d'instruction nécessaires ( art. 61 let . c LPGA).</w:t>
      </w:r>
    </w:p>
    <w:p>
      <w:r>
        <w:rPr>
          <w:b/>
        </w:rPr>
        <w:t>E. 6</w:t>
      </w:r>
    </w:p>
    <w:p>
      <w:r>
        <w:t>Le recours se révèle bien fondé. Vu l'issue du litige, les frais de justice seront supportés par l'intimé qui succombe ( art. 66 al. 1 LTF ). Celui-ci versera par ailleurs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