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8C_371/2023 vom 15. Juni 2023</w:t>
      </w:r>
    </w:p>
    <w:p>
      <w:r>
        <w:t>Bundesgericht, 2023-06-15, DE</w:t>
      </w:r>
    </w:p>
    <w:p>
      <w:r>
        <w:rPr>
          <w:b/>
        </w:rPr>
        <w:t xml:space="preserve">Quelle: </w:t>
      </w:r>
      <w:r>
        <w:t>https://mcp.opencaselaw.ch/entscheid/bger_8C_371_2023</w:t>
      </w:r>
    </w:p>
    <w:p>
      <w:r>
        <w:t>FR: TF 8C_371/2023 du 15 juin 2023</w:t>
      </w:r>
    </w:p>
    <w:p>
      <w:r>
        <w:t>IT: TF 8C_371/2023 del 15 giugno 2023</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Nichteintretensentscheiden praxisgemäss eine spezifische Auseinandersetzung mit den Nichteintretensgründen ( BGE 123 V 335 ), und zwar ungeachtet dessen, ob es sich bei diesem Entscheid um eine verfahrensleitende Zwischenverfügung oder ein Endurteil handelt.</w:t>
      </w:r>
    </w:p>
    <w:p>
      <w:r>
        <w:rPr>
          <w:b/>
        </w:rPr>
        <w:t>E. 2</w:t>
      </w:r>
    </w:p>
    <w:p>
      <w:r>
        <w:t>Die Vorinstanz trat in der angefochtenen Verfügung vom 27. April 2023 auf das im Verfahren KG 5U 23 27 gestellte Gesuch um unentgeltliche Rechtspflege nicht ein und verpflichtete den Beschwerdeführer zur Bezahlung eines Kostenvorschusses; dies verbunden mit der Androhung, bei ausbleibender Vorschussleistung werde auf die Beschwerde nicht eingetreten.</w:t>
      </w:r>
    </w:p>
    <w:p>
      <w:r>
        <w:rPr>
          <w:b/>
        </w:rPr>
        <w:t>E. 3</w:t>
      </w:r>
    </w:p>
    <w:p>
      <w:r>
        <w:t>Damit setzt sich A.________ in der beim Bundesgericht eingereichten Eingabe nicht näher auseinander, wobei eine Möglichkeit zur Verbesserung innerhalb der Beschwerdefrist nicht mehr bestand.</w:t>
      </w:r>
    </w:p>
    <w:p>
      <w:r>
        <w:rPr>
          <w:b/>
        </w:rPr>
        <w:t>E. 4</w:t>
      </w:r>
    </w:p>
    <w:p>
      <w:r>
        <w:t>Demnach liegt offensichtlich keine hinreichend sachbezogen begründete Beschwerde vor, was zu einem Nichteintreten im vereinfachten Verfahren nach Art. 108 Abs. 1 lit. b BGG führt.</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