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8C_36/2013 vom 14. Januar 2014</w:t>
      </w:r>
    </w:p>
    <w:p>
      <w:r>
        <w:t>Bundesgericht, 2014-01-14, FR</w:t>
      </w:r>
    </w:p>
    <w:p>
      <w:r>
        <w:rPr>
          <w:b/>
        </w:rPr>
        <w:t xml:space="preserve">Quelle: </w:t>
      </w:r>
      <w:r>
        <w:t>https://mcp.opencaselaw.ch/entscheid/bger_8C_36_2013</w:t>
      </w:r>
    </w:p>
    <w:p>
      <w:r>
        <w:t>FR: TF 8C_36/2013 du 14 janvier 2014</w:t>
      </w:r>
    </w:p>
    <w:p>
      <w:r>
        <w:t>IT: TF 8C_36/2013 del 14 gennaio 2014</w:t>
      </w:r>
    </w:p>
    <w:p>
      <w:pPr>
        <w:pStyle w:val="Heading2"/>
      </w:pPr>
      <w:r>
        <w:t>Erwägungen</w:t>
      </w:r>
    </w:p>
    <w:p>
      <w:r>
        <w:rPr>
          <w:b/>
        </w:rPr>
        <w:t>E. 1</w:t>
      </w:r>
    </w:p>
    <w:p>
      <w:r>
        <w:t>D'un point de vue formel, le jugement entrepris est une décision de renvoi. En principe, les décisions de renvoi sont des décisions incidentes qui ne peuvent faire l'objet d'un recours au Tribunal fédéral qu'aux conditions de l' art. 93 LTF ( ATF 133 V 477 consid. 4.2 et 4.3 p. 481 s.). Lorsqu'un assureur social est contraint par le jugement incident à rendre une décision qu'il estime contraire au droit et qu'il ne pourra lui-même pas attaquer, un tel jugement incident peut être déféré au Tribunal fédéral sans attendre le prononcé du jugement final ( ATF 133 V 477 consid. 5.2 p. 483). Cette éventualité est en l'espèce réalisée, car le jugement attaqué a un effet contraignant pour la recourante en ce sens que celle-ci doit statuer à nouveau sur le droit aux prestations de l'intimé compte tenu du fait que l'événement annoncé a été qualifié d'accident. Il convient par conséquent d'entrer en matière.</w:t>
      </w:r>
    </w:p>
    <w:p>
      <w:r>
        <w:rPr>
          <w:b/>
        </w:rPr>
        <w:t>E. 2</w:t>
      </w:r>
    </w:p>
    <w:p>
      <w:r>
        <w:t>Est litigieuse la prise en charge du traitement médical suivi par l'assuré pour les suites de l'événement du 15 novembre 2011. Singulièrement, il s'agit d'examiner si cet événement constitue ou non un accident.</w:t>
      </w:r>
    </w:p>
    <w:p>
      <w:r>
        <w:t>Lorsque, comme en l'espèce, la procédure porte sur des prestations en nature de l'assurance-accidents, le Tribunal fédéral est lié par les constatations de fait de l'instance précédente et ne peut s'en écarter qu'en cas de constatation manifestement inexacte ou effectuée en violation du droit au sens de l' art. 95 LTF (cf. art. 97 al. 1, 105 al. 1 et 105 al. 2 LTF).</w:t>
      </w:r>
    </w:p>
    <w:p>
      <w:r>
        <w:rPr>
          <w:b/>
        </w:rPr>
        <w:t>E. 3</w:t>
      </w:r>
    </w:p>
    <w:p>
      <w:r>
        <w:t>Par accident, on entend toute atteinte dommageable, soudaine et involontaire, portée au corps humain par une cause extérieure extraordinaire qui compromet la santé physique ou mentale (voir art. 4 LPGA ; art. 9 OLAA en relation avec l' art. 6 al. 2 LAA ).</w:t>
      </w:r>
    </w:p>
    <w:p>
      <w:r>
        <w:t>Il résulte de la définition même de l'accident que le caractère extraordinaire de l'atteinte ne concerne pas les effets du facteur extérieur, mais seulement ce facteur lui-même. Il doit s'agir d'une cause externe et non interne au corps humain. Le facteur extérieur est considéré comme extraordinaire lorsqu'il excède, dans le cas particulier, le cadre des événements et des situations que l'on peut, objectivement, qualifier de quotidiens ou d'habituels ( ATF 129 V 402 consid. 2.1 p. 404 et les références; 122 V 230 consid. 1 p. 232 sv.).</w:t>
      </w:r>
    </w:p>
    <w:p>
      <w:r>
        <w:rPr>
          <w:b/>
        </w:rPr>
        <w:t>E. 4</w:t>
      </w:r>
    </w:p>
    <w:p>
      <w:r>
        <w:t>Les premiers juges ont retenu que surpris par le comportement de sa machine, l'assuré s'était vu contraint de fournir de façon involontaire un effort - sur lequel il n'avait eu aucune maîtrise - sous la forme d'une "torsion violente du bras et de l'épaule droits". Sur la base de ces constatations, et en considération du poids et de la puissance de l'outil employé (plus grand qu'une visseuse Bosch moyenne), ils ont jugé que la condition du facteur extérieur extraordinaire était remplie. L'événement annoncé répondait ainsi à la définition de la notion d'accident.</w:t>
      </w:r>
    </w:p>
    <w:p>
      <w:r>
        <w:t>Sans critiquer les faits retenus par la juridiction cantonale - la CNA relève tout au plus que le dossier ne contient aucune information sur le poids et la puissance exacts du marteau-piqueur employé par l'assuré -, la recourante estime que la situation décrite n'est pas inhabituelle pour un électricien et fait partie d'un "fonctionnement normal" de l'outil en cause. Elle se réfère à une jurisprudence cantonale, notamment bernoise, selon laquelle le blocage d'une mèche d'une visseuse, perceuse ou d'un marteau-piqueur ne constituerait pas une circonstance extraordinaire ou imprévisible pour une personne habituée à employer ce genre d'outil dans son activité professionnelle.</w:t>
      </w:r>
    </w:p>
    <w:p>
      <w:r>
        <w:rPr>
          <w:b/>
        </w:rPr>
        <w:t>E. 5</w:t>
      </w:r>
    </w:p>
    <w:p>
      <w:r>
        <w:t>On ne saurait suivre ce point de vue. Le fait que, de façon générale, un électricien peut être amené à utiliser un marteau-piqueur dans l'exercice de sa profession ou qu'il peut arriver que la mèche d'une telle machine se bloque lors de son utilisation, n'est pas un critère pertinent pour nier ou admettre l'existence d'un accident en l'espèce. Si la jurisprudence prend en considération les habitudes professionnelles d'une personne qui prétend des prestations d'assurance, elle le fait avant tout dans le cadre des lésions dues à des efforts (soulèvement et déplacement de charges notamment) pour examiner si l'effort doit être considéré comme extraordinaire (cf. Jean-Maurice Frésard/ Margit Moser-Szeless, L'assurance-accidents obligatoire, in: Schweizerisches Bundesverwaltungsrecht [SBVR], Soziale Sicherheit, 2ème éd., 2007, n. 73 p. 861). Pour les mouvements du corps, l'existence d'un facteur extérieur extraordinaire doit être admise lorsqu'un phénomène extérieur modifie de manière anormale le déroulement naturel d'un mouvement, ce qui a pour effet d'entraîner un mouvement non coordonné ( ATF 130 V 117 consid. 2.1 p. 118). En l'occurrence, il ressort du jugement cantonal que la force générée par le marteau-piqueur en fonctionnement alors que la mèche de celui-ci s'était bloquée dans le mur a provoqué chez l'assuré une torsion violente et forcée de son membre supérieur droit. On se trouve donc en présence d'un mouvement non programmé et non maîtrisé qui a présenté une certaine intensité. A cet égard, il y a lieu de s'en tenir aux faits constatés par les premiers juges qui lient le Tribunal fédéral. Dans ces circonstances, on peut retenir qu'il y a eu une sollicitation de l'organisme plus élevée que la normale, ce qui permet de conclure à l'existence d'un facteur extérieur extraordinaire à l'origine des douleurs à l'épaule droite annoncées par l'intimé.</w:t>
      </w:r>
    </w:p>
    <w:p>
      <w:r>
        <w:t>Vu ce qui précède, le jugement cantonal n'est pas critiquable et le recours se révèle mal fondé.</w:t>
      </w:r>
    </w:p>
    <w:p>
      <w:r>
        <w:rPr>
          <w:b/>
        </w:rPr>
        <w:t>E. 6</w:t>
      </w:r>
    </w:p>
    <w:p>
      <w:r>
        <w:t>La recourante, qui succombe, supportera les frais judiciaires ( art. 66 al. 1 LTF ). L'intimé, qui est représenté par une collaboratrice juridique d'une compagnie d'assurance de protection juridique,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