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8C_36/2012 vom 18. September 2012</w:t>
      </w:r>
    </w:p>
    <w:p>
      <w:r>
        <w:t>Bundesgericht, 2012-09-18, DE</w:t>
      </w:r>
    </w:p>
    <w:p>
      <w:r>
        <w:rPr>
          <w:b/>
        </w:rPr>
        <w:t xml:space="preserve">Quelle: </w:t>
      </w:r>
      <w:r>
        <w:t>https://mcp.opencaselaw.ch/entscheid/bger_8C_36_2012</w:t>
      </w:r>
    </w:p>
    <w:p>
      <w:r>
        <w:t>FR: TF 8C_36/2012 du 18 septembre 2012</w:t>
      </w:r>
    </w:p>
    <w:p>
      <w:r>
        <w:t>IT: TF 8C_36/2012 del 18 settembre 2012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auf Leistungen der obligatorischen Unfallversicherung über den 31. März 2008 hinaus, und dabei namentlich die Frage, ob die geklagten Beschwerden (noch) in einem rechtserheblichen Kausalzusammenhang mit dem Unfallereignis vom 12. Dezember 2006 stehen.</w:t>
      </w:r>
    </w:p>
    <w:p>
      <w:r>
        <w:t>Das kantonale Gericht hat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zutreffend dargelegt. Gleiches gilt zum Wegfall des ursächlichen Zusammenhangs und damit des Leistungsanspruchs der versicherten Person bei Erreichen des Status quo sine vel ante und zu den sich dabei stellenden Beweisfragen (SVR 2009 UV Nr. 3 S. 9, 8C_354/2007 E. 2.2). Richtig sind schliesslich die Hinweise zum im Sozialversicherungsrecht massgebenden Beweisgrad der überwiegenden Wahrscheinlichkeit ( BGE 129 V 177 E. 3.1 S. 181 mit Hinweisen) sowie zum Beweiswert und zur Beweiswürdigung medizinischer Berichte und Gutachten ( BGE 134 V 231 E. 5.1 S. 232; 125 V 351 E. 3 S. 352 mit Hinweisen). Darauf wird verwiesen.</w:t>
      </w:r>
    </w:p>
    <w:p>
      <w:r>
        <w:rPr>
          <w:b/>
        </w:rPr>
        <w:t>E. 3.1</w:t>
      </w:r>
    </w:p>
    <w:p>
      <w:r>
        <w:t>Die Vorinstanz hat in Würdigung der medizinischen Aktenlage, namentlich gestützt auf das interdisziplinäre Gutachten der MEDAS vom 16. September 2010 erkannt, es sei mit überwiegender Wahrscheinlichkeit erstellt, dass vier Monate nach dem Unfallereignis vom 12. Dezember 2006 nur noch die unfallfremden degenerativen Veränderungen vorhanden gewesen seien, weshalb die Leistungseinstellung per 31. März 2008 zu Recht erfolgt sei. Der Beschwerdeführer kritisiert, dass bei der Wahl des Begutachtungsinstituts gegen den Willen der versicherten Person nicht so verfahren worden sei, wie dies BGE 137 V 210 erfordere. Zudem macht er - wie bereits vor Vorinstanz - geltend, zwischen der MEDAS-Beurteilung vom 16. September 2010 und dem Ergebnis der Röntgenuntersuchung im Röntgeninstitut X.________ vom 29. März 2010 bestehe insofern ein Widerspruch, als die Röntgenuntersuchung nur minimale degenerative Veränderungen des linken Schultergelenks und keine wesentlichen Anhaltspunkte für eine Omarthrose gezeigt habe, wohingegen der orthopädische Gutachter der MEDAS die Schulterbeschwerden auf degenerative Veränderungen und eine unfallfremde Omarthrose zurückführe. Dies erfordere eine weitere medizinische Abklärung durch einen unabhängigen Facharzt für orthopädische Chirurgie und Traumatologie des Bewegungsapparates.</w:t>
      </w:r>
    </w:p>
    <w:p>
      <w:r>
        <w:rPr>
          <w:b/>
        </w:rPr>
        <w:t>E. 3.2</w:t>
      </w:r>
    </w:p>
    <w:p>
      <w:r>
        <w:t>Was zunächst den Einwand gegen das Vorgehen bei der Anordnung der Begutachtung durch die MEDAS anbelangt, hat das Bundesgericht in BGE 137 V 210 E. 6 S. 266 bestätigt, die Anwendbarkeit der von der Rechtsprechung erarbeiteten Grundsätze auf laufende Verfahren bedeute nicht, dass nach altem Verfahrensstand eingeholte Gutachten ihren Beweiswert per se verlören. Vielmehr ist im Rahmen einer gesamthaften Prüfung des Einzelfalles mit seinen spezifischen Gegebenheiten und den erhobenen Rügen entscheidend, ob das abschliessende Abstellen auf die vorhandenen Beweisgrundlagen im angefochtenen Entscheid vor Bundesrecht standhält.</w:t>
      </w:r>
    </w:p>
    <w:p>
      <w:r>
        <w:rPr>
          <w:b/>
        </w:rPr>
        <w:t>E. 3.3</w:t>
      </w:r>
    </w:p>
    <w:p>
      <w:r>
        <w:t>Dies trifft hier zu. Die Beauftragung einer MEDAS ist verfassungskonform und rechtsprechungsgemäss auch mit der Europäischen Menschenrechtskonvention vereinbar ( BGE 137 V 210 E. 2.1 bis 2.3 S. 229 ff.). Richtig ist wohl, dass das Bundesgericht in diesem Urteil in Änderung der Rechtsprechung erkannt hat, die MEDAS-Begutachtung müsse mittels erstinstanzlich anfechtbarer Zwischenverfügung angeordnet werden (E. 3.4.2.6 S. 256) und die versicherte Person sei befugt, vorgängig zu den Gutachterfragen Stellung zu nehmen und entsprechende Ergänzungsfragen zu stellen (E. 3.4.2.9 S. 258). Wie das Bundesgericht im jüngst ergangenen, zur Publikation bestimmten Urteil 8C_336/2012 vom 13. August 2012 entschieden hat, gelten diese Korrektive zur Stärkung der Partizipationsrechte - sofern nicht IV-spezifisch - auch im Verfahren der Unfallversicherung (E. 6.1.1). Dass die Vorgehensweise der Unfallversicherung mit den Vorgaben der am 28. Juni 2011 geänderten Rechtsprechung nicht übereinstimmt, ist unbestritten. Wohl hat sie dem Versicherten zusammen mit der Mitteilung, sie werde bei der MEDAS eine Begutachtung in Auftrag geben, die Gutachterfragen zugestellt und ihm die Möglichkeit eingeräumt, Ergänzungsfragen zu stellen, doch hat sie die Begutachtung nicht mittels anfechtbarer Zwischenverfügung angeordnet. Abgesehen davon, dass dazu nach dem damaligen Stand der Rechtsprechung kein Anlass bestand, hat sich der Beschwerdeführer auf eine generelle Ablehnung der MEDAS beschränkt und keine formellen Ausstands- oder Ablehnungsgründe geltend gemacht. Es bestehen daher keine Anhaltspunkte dafür, weshalb dem nach altem Verfahrensstand korrekt eingeholten MEDAS-Gutachten aus formellen Gründen der Beweiswert abgesprochen werden sollte.</w:t>
      </w:r>
    </w:p>
    <w:p>
      <w:r>
        <w:rPr>
          <w:b/>
        </w:rPr>
        <w:t>E. 3.4</w:t>
      </w:r>
    </w:p>
    <w:p>
      <w:r>
        <w:t>Bezüglich materieller Schlüssigkeit des MEDAS-Gutachtens wiederholt der Beschwerdeführer im Wesentlichen die bereits im kantonalen Verfahren erhobenen Einwendungen, wonach die Schlussfolgerungen des orthopädischen Gutachters nicht mit dem Ergebnis der Röntgenuntersuchung vom 29. März 2010 übereinstimmen würden. Was die unterschiedliche Beurteilung der AC-Gelenksarthrose anbelangt, räumt der Versicherte jedoch selber ein, diese möge noch im Rahmen des Beurteilungsermessens liegen. Entgegen den Ausführungen des Beschwerdeführers hat der orthopädische Gutachter der MEDAS sodann nicht gesagt, die Schulterbeschwerden seien auf eine unfallfremde Omarthrose zurückzuführen. Wie in der Beschwerde dargelegt, gibt es keine bildgebende Untersuchung, welche eine Omarthrose im linken Schultergelenk zeigt, und stützt sich deren Erwähnung einzig auf einen Bericht des Hausarztes Dr. med. K.________ vom 18. Februar 2008. Dementsprechend ist im MEDAS-Gutachten denn auch keine Omarthrose diagnostiziert und figuriert sie auch nicht unter der "Beurteilung und Prognose" des Gutachtens. Lediglich unter "Beantwortung der Fragen" werden aus orthopädischer Sicht als unfallfremde Ursachen eine deutliche degenerative Veränderung der Halswirbelsäule und des Schultergelenks benannt, wobei sich dies unter anderem in einer vorangeschrittenen Segmentdegeneration der mittleren unteren HWS mit Verschmälerung der Bandscheibenzwischenräume, Spondylose, einer AC-Gelenksarthrose, einer Omarthrose mit Verschmälerung des glenohumeralen Gelenkabstandes und einer Tendopathie der Rotatorenmanschette links äussere. Die Erwähnung einer Omarthrose neben anderen degenerativen Vorschäden bei der Beantwortung der Fragen vermag die Schlüssigkeit des MEDAS-Gutachtens entgegen der Auffassung des Beschwerdeführers nicht zu tangieren. Die Vorinstanz hat einlässlich und überzeugend aufgezeigt, dass das interdisziplinäre Gutachten vom 16. September 2010 die Anforderungen der Rechtsprechung erfüllt und insbesondere auch die bereits vorhandenen Akten mitberücksichtigt. So sind die Gutachter nach eigener Untersuchung und unter Berücksichtigung sämtlicher Akten, namentlich auch der Ergebnisse früherer Röntgenuntersuchungen, zum Schluss gekommen, dass für die Schulterbeschwerden mit überwiegender Wahrscheinlichkeit vier Monate nach dem Unfallereignis vom 12. Dezember 2006 nur noch unfallfremde Ursachen verantwortlich waren, so deutliche degenerative Veränderungen der Halswirbelsäule und des linken Schultergelenks sowie vermutlich ein Carpaltunnelsyndrom. Dass von der Untersuchung vom 15. Januar 2007 lediglich das Röntgenergebnis "Schulter in 3 Ebenen: unauffällige ossäre Verhältnisse" in den medizinischen Akten ist, vermag an dieser Schlussfolgerung nichts zu ändern. Soweit der Beschwerdeführer wieder geltend macht, er habe vor dem Unfallereignis vom 12. Dezember 2006 nicht unter Schulterbeschwerden gelitten, ist er mit der Vorinstanz erneut darauf hinzuweisen, dass die Argumentation "post hoc, ergo propter hoc" beweisrechtlich nicht zulässig ist ( BGE 119 V 335 E. 2b/bb S. 341 f.; SVR 2008 UV Nr. 11 S. 34, U 290/06 E. 4.2.3).</w:t>
      </w:r>
    </w:p>
    <w:p>
      <w:r>
        <w:rPr>
          <w:b/>
        </w:rPr>
        <w:t>E. 3.5</w:t>
      </w:r>
    </w:p>
    <w:p>
      <w:r>
        <w:t>Zusammenfassend vermögen die Vorbringen des Beschwerdeführers am vorinstanzlichen Ergebnis nichts zu ändern. Er erhebt keine Rügen, die den angefochtenen Entscheid als rechtsfehlerhaft nach Art. 95 BGG ( Art. 97 Abs. 1 BGG ) oder die vorinstanzliche Sachverhaltsfeststellung als unrichtig oder unvollständig ( Art. 97 Abs. 2 BGG ) erscheinen lassen. Im Rahmen der freien, pflichtgemässen Würdigung der Beweise durch die Vorinstanz ergab sich ein nachvollziehbares und schlüssiges Bild des Gesundheitszustandes, das nach dem Beweisgrad der überwiegenden Wahrscheinlichkeit hinreichende Klarheit über den rechtserheblichen Sachverhalt vermittelt, weshalb ihre Sachverhaltsfeststellung bundesrechtskonform ist (Urteil 8C_830/2011 vom 9. März 2012 E. 7.2). Von weiteren medizinischen Abklärungen ist abzusehen, da hievon keine neuen Erkenntnisse zu erwarten sind (antizipierte Beweiswürdigung; BGE 137 V 64 E. 5.2 S. 69, 136 I 229 E. 5.3 S. 236; Urteil 8C_768/2011 vom 7. Februar 2012 E. 5.2).</w:t>
      </w:r>
    </w:p>
    <w:p>
      <w:r>
        <w:rPr>
          <w:b/>
        </w:rPr>
        <w:t>E. 4</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