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8C_36/2009 vom 15. April 2009</w:t>
      </w:r>
    </w:p>
    <w:p>
      <w:r>
        <w:t>Bundesgericht, 2009-04-15, FR</w:t>
      </w:r>
    </w:p>
    <w:p>
      <w:r>
        <w:rPr>
          <w:b/>
        </w:rPr>
        <w:t xml:space="preserve">Quelle: </w:t>
      </w:r>
      <w:r>
        <w:t>https://mcp.opencaselaw.ch/entscheid/bger_8C_36_2009</w:t>
      </w:r>
    </w:p>
    <w:p>
      <w:r>
        <w:t>FR: TF 8C_36/2009 du 15 avril 2009</w:t>
      </w:r>
    </w:p>
    <w:p>
      <w:r>
        <w:t>IT: TF 8C_36/2009 del 15 aprile 2009</w:t>
      </w:r>
    </w:p>
    <w:p>
      <w:pPr>
        <w:pStyle w:val="Heading2"/>
      </w:pPr>
      <w:r>
        <w:t>Erwägungen</w:t>
      </w:r>
    </w:p>
    <w:p>
      <w:r>
        <w:rPr>
          <w:b/>
        </w:rPr>
        <w:t>E. 1</w:t>
      </w:r>
    </w:p>
    <w:p>
      <w:r>
        <w:t>Aux termes de l' art. 99 al. 1 LTF , aucun fait nouveau ni preuve nouvelle ne peut être présenté à moins de résulter de la décision de l'autorité précédente. Il n'y a donc pas lieu, en instance fédérale, de compléter l'instruction de la cause en demandant un avis médical complémentaire au docteur R.________.</w:t>
      </w:r>
    </w:p>
    <w:p>
      <w:r>
        <w:rPr>
          <w:b/>
        </w:rPr>
        <w:t>E. 2</w:t>
      </w:r>
    </w:p>
    <w:p>
      <w:r>
        <w:t>La recourante reproche à la juridiction cantonale d'avoir mal établi les faits en accordant trop de poids aux constatations du docteur V.________, et insuffisamment à celles d'autres médecins, en particulier aux constatations du docteur R.________. Il aurait été nécessaire, en outre, de consulter un expert-psychiatre pour établir correctement les faits. Ces critiques se heurtent toutefois au pouvoir d'examen limité du Tribunal fédéral, qui statue sur la base des faits établis par l'autorité précédente ( art. 105 al. 1 LTF ) et ne peut rectifier les constatations de cette autorité que si les faits ont été établis de façon manifestement inexacte ou en violation du droit au sens de l' art. 95 LTF (art. 97 al. 1 et 105 al. 2 LTF). La recourante ne démontre pas que ces conditions sont réunies en l'espèce. En particulier, les premiers juges ont exposé de manière tout à fait soutenable pour quels motifs ils n'estimaient pas nécessaire d'ordonner une expertise psychiatrique avant de statuer. On précisera, bien que cela ne soit de toute façon pas déterminant pour l'issue du litige, qu'un traitement psychiatrique ordonné par le médecin traitant de la recourante serait en principe pris en charge par son assurance-maladie, contrairement à ce qu'elle soutient.</w:t>
      </w:r>
    </w:p>
    <w:p>
      <w:r>
        <w:rPr>
          <w:b/>
        </w:rPr>
        <w:t>E. 3</w:t>
      </w:r>
    </w:p>
    <w:p>
      <w:r>
        <w:t>La recourante reproche aux premiers juges de n'avoir pas pris en considération les répercussions de ses atteintes à la santé sur sa capacité d'exercer ses activités habituelles (ménage, enfants, loisirs). Ce grief est infondé : dès lors que la recourante travaillerait à 100 % si elle n'était pas atteinte dans sa santé, son taux d'invalidité doit être fixé en fonction de la diminution de sa capacité de gain, et non d'une éventuelle incapacité à accomplir ses travaux habituels ( art. 8 al. 1 et art. 16 LPGA ). Comme déjà exposé dans l'arrêt du Tribunal fédéral 8C_232/2008 du 6 octobre 2008, dans la cause opposant la recourante à la CNA, l' ATF 108 II 434 auquel se réfère L.________ ne concerne pas la fixation du taux d'invalidité en droit des assurances sociales.</w:t>
      </w:r>
    </w:p>
    <w:p>
      <w:r>
        <w:rPr>
          <w:b/>
        </w:rPr>
        <w:t>E. 4</w:t>
      </w:r>
    </w:p>
    <w:p>
      <w:r>
        <w:t>La recourante reproche, enfin, à la juridiction cantonale d'avoir nié son droit à des mesures d'ordre professionnel au motif qu'elle présente un taux d'invalidité inférieur à 20 %. Cette condition correspond toutefois à une jurisprudence bien établie en ce qui concerne l'octroi de mesures de reclassement professionnel au sens de l' art. 17 LAI ( ATF 124 V 108 consid. 2b p. 110 sv.; arrêt I 18/05 du 8 juillet 2005 consid. 2, SVR 2006 IV no 15 p. 53). Pour les mesures d'aide au placement au sens de l' art. 18 LAI , la jurisprudence est moins stricte. Elle exige néanmoins que la nécessité d'une aide au placement résulte des atteintes à la santé présentées par la personne assurée (cf. arrêt I 427/05 du 24 mars 2006 consid. 4, SVR 2006 IV no 45 p. 162). En l'occurrence, la recourante exerce une activité professionnelle adaptée. Certes, la distance entre son domicile et son lieu de travail lui rend plus pénible l'exercice de son activité professionnelle. Il n'est toutefois pas établi qu'un changement de lieu de travail ou d'activité professionnelle est nécessaire.</w:t>
      </w:r>
    </w:p>
    <w:p>
      <w:r>
        <w:rPr>
          <w:b/>
        </w:rPr>
        <w:t>E. 5</w:t>
      </w:r>
    </w:p>
    <w:p>
      <w:r>
        <w:t>Vu ce qui précède, les conclusions du recours sont mal fondées et le recours doit être rejeté selon la procédure prévue par l' art. 109 al. 2 let. a LTF .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