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8C_369/2017 vom 20. November 2017</w:t>
      </w:r>
    </w:p>
    <w:p>
      <w:r>
        <w:t>Bundesgericht, 2017-11-20, DE</w:t>
      </w:r>
    </w:p>
    <w:p>
      <w:r>
        <w:rPr>
          <w:b/>
        </w:rPr>
        <w:t xml:space="preserve">Quelle: </w:t>
      </w:r>
      <w:r>
        <w:t>https://mcp.opencaselaw.ch/entscheid/bger_8C_369_2017</w:t>
      </w:r>
    </w:p>
    <w:p>
      <w:r>
        <w:t>FR: TF 8C_369/2017 du 20 novembre 2017</w:t>
      </w:r>
    </w:p>
    <w:p>
      <w:r>
        <w:t>IT: TF 8C_369/2017 del 20 novembre 2017</w:t>
      </w:r>
    </w:p>
    <w:p>
      <w:pPr>
        <w:pStyle w:val="Heading2"/>
      </w:pPr>
      <w:r>
        <w:t>Erwägungen</w:t>
      </w:r>
    </w:p>
    <w:p>
      <w:r>
        <w:rPr>
          <w:b/>
        </w:rPr>
        <w:t>E. 1</w:t>
      </w:r>
    </w:p>
    <w:p>
      <w:r>
        <w:t>Das Bundesgericht prüft seine Zuständigkeit und die Eintretensvoraussetzungen von Amtes wegen und mit freier Kognition ( Art. 29 Abs. 1 BGG ; BGE 139 V 42 E. 1 S. 44 mit Hinweisen).</w:t>
      </w:r>
    </w:p>
    <w:p>
      <w:r>
        <w:rPr>
          <w:b/>
        </w:rPr>
        <w:t>E. 1.1</w:t>
      </w:r>
    </w:p>
    <w:p>
      <w:r>
        <w:t>Beim angefochtenen Rückweisungsentscheid handelt es sich um einen Zwischenentscheid im Sinne von Art. 93 Abs. 1 BGG ( BGE 140 V 321 E. 3.1 S. 325; 133 V 477 E. 4.2 S. 481 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In Dispositiv-Ziffer 1 des angefochtenen Entscheids wird angeordnet, die IV-Stelle habe ausgehend von einer Arbeitsfähigkeit von 30% in adaptierter Tätigkeit einen Einkommensvergleich durchzuführen und über den Rentenanspruch neu zu verfügen. Weil die IV-Stelle damit im Sinne einer verbindlichen Vorgabe von einer 30%-igen Arbeitsfähigkeit auszugehen und eine ihres Erachtens rechtswidrige Verfügung zu erlassen hätte, erwächst ihr aus dem angefochtenen Entscheid rechtsprechungsgemäss ein nicht wieder gutzumachender Nachteil im Sinne von Art. 93 Abs. 1 lit. a BGG . Auf ihre Beschwerde ist deshalb einzutreten ( BGE 140 V 282 E. 4.2 S. 286 mit Hinweisen).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Streitig und zu prüfen ist, ob die Vorinstanz Bundesrecht verletzte, indem sie für den massgebenden Zeitpunkt der angefochtenen Verfügung von einer Arbeitsfähigkeit von 30% in adaptierter Tätigkeit ausging.</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8C_308/2017 vom 27. September 2017 E. 2.2).</w:t>
      </w:r>
    </w:p>
    <w:p>
      <w:r>
        <w:rPr>
          <w:b/>
        </w:rPr>
        <w:t>E. 3.3</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Gleiches gilt für die konkrete Beweiswürdigung (Urteil 9C_204/2009 vom 6. Juli 2009 E. 4.1, nicht publ. in: BGE 135 V 254 , aber in: SVR 2009 IV Nr. 53 S. 164).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4.1</w:t>
      </w:r>
    </w:p>
    <w:p>
      <w:r>
        <w:t>Das kantonale Gericht hat in umfassender Würdigung der gesamten medizinischen Aktenlage, insbesondere gestützt auf das polydisziplinäre Gutachten des ZMB vom 12. November 2014 sowie die ergänzende Stellungnahme vom 22. Januar 2015 und die Beantwortung der Zusatzfragen vom 6. April 2016 festgestellt, dass die Beschwerdegegnerin mit Einfluss auf die Arbeitsfähigkeit an einer undifferenzierten Kollagenose, an einer rezidivierenden Occipitalisneuralgie rechts sowie an einer Neurasthenie bei chronischer rheumatologischer Erkrankung leide, welche es ihr gegenwärtig verunmögliche, ihre angestammte Tätigkeit als Clubmanagerin oder Aufnahmeleiterin in einem Film- und Fernsehstudio auszuüben. In einer adaptierten Tätigkeit mit Arbeit ohne Stress - so die Vorinstanz - sei eine Arbeitsfähigkeit von 30% gegeben.</w:t>
      </w:r>
    </w:p>
    <w:p>
      <w:r>
        <w:rPr>
          <w:b/>
        </w:rPr>
        <w:t>E. 4.2</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der Beschwerdeführerin zeigen keine offensichtliche Unrichtigkeit der vorinstanzlichen Schlussfolgerungen auf:</w:t>
      </w:r>
    </w:p>
    <w:p>
      <w:r>
        <w:rPr>
          <w:b/>
        </w:rPr>
        <w:t>E. 4.3.1</w:t>
      </w:r>
    </w:p>
    <w:p>
      <w:r>
        <w:t>Mit dem kantonalen Gericht ist dem Gutachten des ZMB vom 12. November 2014 sowie den ergänzenden Stellungnahmen vom 22. Januar 2015 und 6. April 2016 die Erfüllung der rechtsprechungsgemässen Kriterien beweiskräftiger medizinischer Gutachten zuzuerkennen. Es basiert auf eigenen Untersuchungen, setzt sich mit den Vorakten auseinander und ist schlüssig begründet. Die Beweistauglichkeit des Gutachtens an sich sowie die gestellten Diagnosen werden denn von der Beschwerdeführerin auch nicht bestritten.</w:t>
      </w:r>
    </w:p>
    <w:p>
      <w:r>
        <w:rPr>
          <w:b/>
        </w:rPr>
        <w:t>E. 4.3.2</w:t>
      </w:r>
    </w:p>
    <w:p>
      <w:r>
        <w:t>Soweit die Beschwerdeführerin geltend macht, die von den Gutachtern attestierte Arbeitsunfähigkeit sei nicht plausibel erstellt und rechtlich nicht nachvollziehbar, ist nochmals darauf hinzuweisen, dass es sich bei den vorinstanzlichen Feststellungen zum Gesundheitszustand und zur Arbeitsfähigkeit der versicherten Person grundsätzlich um Entscheidungen über eine Tatfrage handelt (vgl. E. 3.3 hievor). Diesbezüglich ist auf ein im Verfahren nach Art. 44 ATSG eingeholtes Gutachten rechtsprechungsgemäss abzustellen, wenn nicht konkrete Indizien gegen die Zuverlässigkeit der Expertise sprechen ( BGE 135 V 465 E. 4.4 S. 470; vgl. auch Urteil 8C_215/2017 vom 31. August 2017 E. 3.3.2). Solche vermag die Beschwerdeführerin nicht darzutun. Wie das kantonale Gericht dargelegt hat, haben die Gutachter des ZMB nachvollziehbar ausgeführt, inwiefern die rheumatologische Erkrankung der Versicherten sowie die Nebenwirkung der Medikamente die Symptomatik mit im Vordergrund stehender anhaltender Müdigkeit, erhöhter Ermüdbarkeit, Schwäche, subfebrilen Temperaturen und deutlicher Gewichtsabnahme erklären und die Arbeitsfähigkeit erheblich einschränken. Ihre Einschätzung basiert auf den Angaben der Versicherten, auf der klinischen Objektivierung anlässlich der Exploration durch einen Rheumatologen, einen Internisten und eine Psychiaterin sowie auf einem Mini-ICF-Test. Auf die Frage der Einschränkung der Arbeitsfähigkeit durch psychosoziale Faktoren oder durch ein psychisches Leiden hielten die Gutachter ausdrücklich fest, die Arbeitsunfähigkeit sei vor allem somatisch begründet. Vom Umfang der attestierten Arbeitsunfähigkeit zeigten sich die Gutachter denn auch bei der Beantwortung der von der Vorinstanz gestellten Fragen vom 6. April 2016 für den Gutachtenszeitpunkt uneingeschränkt überzeugt und plausibilisierten ihre Einschätzung. Das kantonale Gericht zeigte schliesslich auf, dass sich die vom ZMB attestierte Arbeitsunfähigkeit von 70% auch mit den medizinischen Vorakten vereinbaren lasse, da bereits die behandelnden Ärzte des Universitätsspitals Zürich (USZ) im Verlaufsbericht vom 26. November 2013 u.a. eine Frühform einer undifferenzierten Kollagenose diagnostiziert und eine Arbeitsunfähigkeit von 62,5% attestiert hätten. Demgegenüber - so die Vorinstanz - basiere die abweichende Auffassung der IV-Stelle nicht auf einer medizinischen Beurteilung, sondern einzig auf der Einschätzung ihres Rechtsdienstes. Der RAD-Arzt habe das Gutachten grundsätzlich als beweistauglich qualifiziert, indes die beschriebenen Befunde im Hinblick auf die attestierte Arbeitsfähigkeit als nicht sehr eindrücklich erachtet, dies jedoch ohne eine andere Arbeitsunfähigkeitsschätzung vorzunehmen. Wenn die Vorinstanz dabei nicht vom Vorliegen genügend konkreter Indizien gegen die Zuverlässigkeit der Expertise ausging, kann dies nicht beanstandet werden.</w:t>
      </w:r>
    </w:p>
    <w:p>
      <w:r>
        <w:rPr>
          <w:b/>
        </w:rPr>
        <w:t>E. 4.3.3</w:t>
      </w:r>
    </w:p>
    <w:p>
      <w:r>
        <w:t>Soweit die Beschwerdeführerin unter Verweis auf die Rechtsprechung geltend macht, die abschliessende Beurteilung der Arbeitsfähigkeit falle in die Zuständigkeit des Rechtsanwenders, ist darauf hinzuweisen, dass das kantonale Gericht das Gutachten des ZMB gewürdigt, als den rechtsprechungsgemässen Anforderungen an eine beweistaugliche medizinische Expertise genügend qualifiziert und hinreichend begründet hat, weshalb es auf die Einschätzungen der Gutachter abstellen durfte. Namentlich handelt es sich hier um ein vorwiegend somatisches Leiden, nicht um ein unklares Beschwerdebild ohne nachweisbare organische Grundlage, bei dessen Vorliegen die Invalidisierung früher anhand der Überwindbarkeitskriterien und heute anhand einer Indikatorenprüfung beurteilt wurde.</w:t>
      </w:r>
    </w:p>
    <w:p>
      <w:r>
        <w:rPr>
          <w:b/>
        </w:rPr>
        <w:t>E. 4.4</w:t>
      </w:r>
    </w:p>
    <w:p>
      <w:r>
        <w:t>Zusammenfassend hält die vorinstanzliche Annahme einer 30%igen Arbeitsfähigkeit in einer leidensangepassten Tätigkeit für den massgebenden Zeitpunkt der angefochtenen Verfügung vor Bundesrecht stand. Sie beruht weder auf offensichtlich unrichtigen noch auf sonstwie rechtsfehlerhaften Tatsachenfeststellungen.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w:t>
      </w:r>
    </w:p>
    <w:p>
      <w:r>
        <w:rPr>
          <w:b/>
        </w:rPr>
        <w:t>E. 4.5</w:t>
      </w:r>
    </w:p>
    <w:p>
      <w:r>
        <w:t>Beim vorinstanzlichen Entscheid hat es mithin sein Bewenden.</w:t>
      </w:r>
    </w:p>
    <w:p>
      <w:r>
        <w:rPr>
          <w:b/>
        </w:rPr>
        <w:t>E. 5</w:t>
      </w:r>
    </w:p>
    <w:p>
      <w:r>
        <w:t>Die Gerichtskosten werden der Beschwerdeführerin auferlegt ( Art. 66 Abs. 1 BGG ). Zudem hat sie der Versicherten eine Parteientschädigung auszurichten ( Art. 68 Abs. 1 und 2 BGG ). Damit wird das Gesuch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