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8C_369/2015 vom 14. Juli 2015</w:t>
      </w:r>
    </w:p>
    <w:p>
      <w:r>
        <w:t>Bundesgericht, 2015-07-14, DE</w:t>
      </w:r>
    </w:p>
    <w:p>
      <w:r>
        <w:rPr>
          <w:b/>
        </w:rPr>
        <w:t xml:space="preserve">Quelle: </w:t>
      </w:r>
      <w:r>
        <w:t>https://mcp.opencaselaw.ch/entscheid/bger_8C_369_2015</w:t>
      </w:r>
    </w:p>
    <w:p>
      <w:r>
        <w:t>FR: TF 8C_369/2015 du 14 juillet 2015</w:t>
      </w:r>
    </w:p>
    <w:p>
      <w:r>
        <w:t>IT: TF 8C_369/2015 del 14 luglio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festgestellt, die Beschwerdeführerin habe es unterlassen, der zuständigen Stelle (Sozialbehörde) ihren Wegzug aus der Gemeinde mitzuteilen, obwohl sie in beiden Entscheiden, mit welchen ihr für ihren Sohn Alimentenbevorschussung gewährt worden sei, auf ihre Mitteilungspflichten hingewiesen worden sei. Die Beschwerdeführerin gibt in ihrer Beschwerde vor Bundesgericht denn auch zu, die zuständige Stelle nicht darüber informiert zu haben. Soweit sie aber davon ausgeht, es reiche, wenn die für die Steuern sowie die Einwohnerkontrolle zuständigen Personen um ihren Wegzug gewusst haben, kann ihr nicht gefolgt werden. Bei der betroffenen Gemeinde handelt es sich zwar um eine eher kleinere Gemeinde; dennoch darf verlangt werden, dass die zuständige Person über die veränderten Verhältnisse informiert wird, was vorliegend jedoch nicht erfolgt ist. Die Unkenntnis der Sozialbehörde ist auch nicht einer angeblich mangelhaften Organisation anzulasten, sondern der Beschwerdeführerin, welche eine Mitteilung unterlassen hat. Es ist somit nicht ersichtlich, inwiefern die Sachverhaltsfeststellung der Vorinstanz willkürlich sein soll (E. 1.2).</w:t>
      </w:r>
    </w:p>
    <w:p>
      <w:r>
        <w:rPr>
          <w:b/>
        </w:rPr>
        <w:t>E. 3.1</w:t>
      </w:r>
    </w:p>
    <w:p>
      <w:r>
        <w:t>Die Beschwerdeführerin rügt eine Verletzung des Grundsatzes von Treu und Glauben, indem die Vorinstanz die Voraussetzungen des Vertrauensschutzes nicht bejaht habe.</w:t>
      </w:r>
    </w:p>
    <w:p>
      <w:r>
        <w:rPr>
          <w:b/>
        </w:rPr>
        <w:t>E. 3.2</w:t>
      </w:r>
    </w:p>
    <w:p>
      <w:r>
        <w:t>Nach dem in Art. 9 BV verankerten Grundsatz von Treu und Glauben kann eine unrichtige Auskunft, welche eine Behörde dem Bürger erteilt, unter gewissen Umständen Rechtswirkungen entfalten. Voraussetzung (vgl. dazu 137 II 182 E. 3.6.2 S. 193 mit Hinweisen) dafür ist, dass:</w:t>
      </w:r>
    </w:p>
    <w:p>
      <w:r>
        <w:t>a)       es sich um eine vorbehaltlose Auskunft der Behörden handelt;</w:t>
      </w:r>
    </w:p>
    <w:p>
      <w:r>
        <w:t>b)       die Auskunft sich auf eine konkrete, den Bürger berührende Angelegenheit bezieht;</w:t>
      </w:r>
    </w:p>
    <w:p>
      <w:r>
        <w:t>c)       die Amtsstelle, welche die Auskunft gegeben hat, hiefür zuständig       war oder der Bürger sie aus zureichenden Gründen als zuständig              betrachten durfte;</w:t>
      </w:r>
    </w:p>
    <w:p>
      <w:r>
        <w:t>d)       der Bürger die Unrichtigkeit der Auskunft nicht ohne weiteres hat              erkennen können;</w:t>
      </w:r>
    </w:p>
    <w:p>
      <w:r>
        <w:t>e)       der Bürger im Vertrauen hierauf nicht ohne Nachteil rückgängig zu       machende Dispositionen getroffen hat;</w:t>
      </w:r>
    </w:p>
    <w:p>
      <w:r>
        <w:t>f)       die Rechtslage zur Zeit der Verwirklichung noch die gleiche ist wie       im Zeitpunkt der Auskunftserteilung;</w:t>
      </w:r>
    </w:p>
    <w:p>
      <w:r>
        <w:t>g)       das Interesse an der richtigen Durchsetzung des objektiven Rechts       dasjenige des Vertrauensschutzes nicht überwiegt.</w:t>
      </w:r>
    </w:p>
    <w:p>
      <w:r>
        <w:t>Unterbleibt eine Auskunft entgegen gesetzlicher Vorschrift (vgl. Art. 27 ATSG ) oder obwohl sie nach den im Einzelfall gegebenen Umständen geboten war, hat die Rechtsprechung dies der Erteilung einer unrichtigen Auskunft gleichgestellt ( BGE 131 V 480 E. 5 mit Hinweisen; vgl. auch Meyer-Blaser, Die Bedeutung von Art. 4 Bundesverfassung für das Sozialversicherungsrecht, in: ZSR 1992 2. Halbbd., S. 299 ff., 412 f.).</w:t>
      </w:r>
    </w:p>
    <w:p>
      <w:r>
        <w:rPr>
          <w:b/>
        </w:rPr>
        <w:t>E. 3.3</w:t>
      </w:r>
    </w:p>
    <w:p>
      <w:r>
        <w:t>Mit der Vorinstanz sind die Voraussetzungen zum Vertrauensschutz zu verneinen. Namentlich fehlt es an einer vorbehaltlosen Auskunft der Behörden in einer konkreten Sache. So ergibt sich weder aus den Akten noch wird von der Beschwerdeführerin geltend gemacht, dass sich die für die Steuern und die Einwohnerkontrolle zuständigen Personen zu ihrem Anspruch auf Alimentenbevorschussung geäussert hätten. Diese waren denn auch nicht gehalten, sich von sich aus dazu zu äussern. Alleine der Umstand, dass diese Personen um den Wegzug der Beschwerdeführerin aus der Gemeinde wussten, reicht nicht für die Bejahung einer Vertrauensgrundlage. Auch ist weder ersichtlich noch wird in der Beschwerde dargelegt, inwiefern die Vorinstanz Bundesrecht verletzt haben sollte, indem sie das Interesse der Durchsetzung des objektiven Rechts über dasjenige der Beschwerdeführerin am Vertrauensschutz stellte. Nach dem Gesagten ist nicht zu beanstanden, dass die Beschwerdeführerin zur Rückerstattung der zu viel bezogenen Alimentenbevorschussung verpflichtet wurde.</w:t>
      </w:r>
    </w:p>
    <w:p>
      <w:r>
        <w:rPr>
          <w:b/>
        </w:rPr>
        <w:t>E. 4</w:t>
      </w:r>
    </w:p>
    <w:p>
      <w:r>
        <w:t>Bezüglich der gerügten Verlegung der vorinstanzlichen Gerichtskosten begründet die Beschwerdeführerin nicht, inwiefern diese gegen eine Norm des Bundesrechts verstossen soll (vgl. E. 1.1). Somit ist auf diesen Einwand nicht weiter einzugehen.</w:t>
      </w:r>
    </w:p>
    <w:p>
      <w:r>
        <w:rPr>
          <w:b/>
        </w:rPr>
        <w:t>E. 5</w:t>
      </w:r>
    </w:p>
    <w:p>
      <w:r>
        <w:t>Auf Grund der Umstände wird ausnahmsweise auf die Erhebung von Gerichtskosten verzichtet ( Art. 66 Abs. 1 BGG ). Das Gesuch um Befreiung von den Gerichtskosten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