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8C_368/2015 vom 6. August 2015</w:t>
      </w:r>
    </w:p>
    <w:p>
      <w:r>
        <w:t>Bundesgericht, 2015-08-06, DE</w:t>
      </w:r>
    </w:p>
    <w:p>
      <w:r>
        <w:rPr>
          <w:b/>
        </w:rPr>
        <w:t xml:space="preserve">Quelle: </w:t>
      </w:r>
      <w:r>
        <w:t>https://mcp.opencaselaw.ch/entscheid/bger_8C_368_2015</w:t>
      </w:r>
    </w:p>
    <w:p>
      <w:r>
        <w:t>FR: TF 8C_368/2015 du 6 août 2015</w:t>
      </w:r>
    </w:p>
    <w:p>
      <w:r>
        <w:t>IT: TF 8C_368/2015 del 6 agosto 2015</w:t>
      </w:r>
    </w:p>
    <w:p>
      <w:pPr>
        <w:pStyle w:val="Heading2"/>
      </w:pPr>
      <w:r>
        <w:t>Erwägungen</w:t>
      </w:r>
    </w:p>
    <w:p>
      <w:r>
        <w:rPr>
          <w:b/>
        </w:rPr>
        <w:t>E. 1.1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1.2</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(in BGE 138 I 113 nicht publizierte E. 2.1 des Urteils 8C_294/2011 vom 29. Dezember 2011 ; 130 I 258 E. 1.3 S. 262 ; 129 I 113 E. 2.1 S. 120; je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beziehungsweise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(in BGE 138 I 113 nicht publizierte E. 2.2 des Urteils 8C_294/2011 vom 29. Dezember 2011 mit Hinweisen).</w:t>
      </w:r>
    </w:p>
    <w:p>
      <w:r>
        <w:rPr>
          <w:b/>
        </w:rPr>
        <w:t>E. 2</w:t>
      </w:r>
    </w:p>
    <w:p>
      <w:r>
        <w:t>Die Rückerstattungsforderung stützt sich auf § 26 lit. a des kantonalzürcherischen Sozialhilfegesetzes (SHG), wonach zur Rückerstattung von wirtschaftlicher Hilfe verpflichtet ist, wer diese unter unwahren oder unvollständigen Angaben erwirkt hat. Nach § 18 SHG gibt der Hilfesuchende vollständig und wahrheitsgetreu Auskunft über seine finanziellen Verhältnisse (Abs. 1) und gewährt Einsicht in seine Unterlagen, soweit dies für die Erfüllung der gesetzlichen Aufgaben der Sozialhilfe geeignet und erforderlich ist (Abs. 2).</w:t>
      </w:r>
    </w:p>
    <w:p>
      <w:r>
        <w:rPr>
          <w:b/>
        </w:rPr>
        <w:t>E. 3</w:t>
      </w:r>
    </w:p>
    <w:p>
      <w:r>
        <w:t>Nach den Feststellungen des kantonalen Gerichts hatte der Beschwerdeführer in seinem Antrag auf Ausrichtung von wirtschaftlicher Hilfe am 22. November 2010 angegeben, dass er über keine Motorfahrzeuge verfüge. Indessen habe er gemäss Vertrag mit der Autohaus D.________ AG am 1. Juni 2012 einen Nissan 350Z verkauft, welcher zuvor auf einem von ihm gemieteten Parkplatz in der Tiefgarage seines Wohnhauses, im Antrag vom 22. November 2010 jedoch ebenfalls nicht angegeben, ohne Kontrollschilder abgestellt gewesen sei. Den dagegen erhobenen Vorbringen des Beschwerdeführers vermochten Verwaltung und Vorinstanz nicht zu folgen. Er machte geltend, dass er das Fahrzeug bereits am 19. Dezember 2009 zwecks Schuldentilgung seiner Freundin zu Eigentum übertragen habe. Nach den Erwägungen des kantonalen Gerichts war ausschlaggebend, dass kein schriftlicher Kaufvertrag zwischen dem Beschwerdeführer und seiner Freundin vorlag, dass das Auto auf dem Parkplatz des Beschwerdeführers stand, dass der Beschwerdeführer stets als Halter des Fahrzeuges gemeldet gewesen war, dass im Inserat zum Verkauf des Fahrzeuges bei den Kontaktdaten die E-Mail-Adresse des Beschwerdeführers angegeben war, dass er selber im Vertrag mit der Autohaus D.________ AG als Verkäufer genannt war und dass schliesslich nicht einleuchtend sei, weshalb der Beschwerdeführer Schulden bei seiner Freundin, die zwischen 2001 und 2003 entstanden seien, erst sechs Jahre später zurückbezahlt habe, nachdem er Ende Juni 2006 von der Sozialhilfe habe abgelöst werden können und bis Ende 2008 gearbeitet habe.</w:t>
      </w:r>
    </w:p>
    <w:p>
      <w:r>
        <w:t>Der Beschwerdeführer rügt die vorinstanzliche Beweiswürdigung. Seiner Auffassung nach ist es insbesondere nachvollziehbar, dass er die Eigentumsübertragung an seine Freundin nicht schriftlich festgehalten hat, dass mit Blick auf den beabsichtigten Verkauf des Fahrzeuges kein Halterwechsel gemeldet worden ist und dass er selber das Auto im Auftrag seiner Freundin verkauft hat. Im Übrigen werden die von der Vorinstanz berücksichtigten Umstände jedoch nicht bestritten. Sie sprechen allesamt dafür, dass der Beschwerdeführer bei Einreichung seines Leistungsgesuches Eigentümer eines Fahrzeuges war, das er später für 12'500 Franken verkaufte. Die erhobenen Einwände vermögen jedenfalls den angefochtenen Entscheid nicht als willkürlich erscheinen zu lassen.</w:t>
      </w:r>
    </w:p>
    <w:p>
      <w:r>
        <w:rPr>
          <w:b/>
        </w:rPr>
        <w:t>E. 4</w:t>
      </w:r>
    </w:p>
    <w:p>
      <w:r>
        <w:t>Das Verfahren ist kostenpflichtig (Art. 65 f. BGG). Entsprechend seinem 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