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8C_368/2013 vom 25. Februar 2014</w:t>
      </w:r>
    </w:p>
    <w:p>
      <w:r>
        <w:t>Bundesgericht, 2014-02-25, FR</w:t>
      </w:r>
    </w:p>
    <w:p>
      <w:r>
        <w:rPr>
          <w:b/>
        </w:rPr>
        <w:t xml:space="preserve">Quelle: </w:t>
      </w:r>
      <w:r>
        <w:t>https://mcp.opencaselaw.ch/entscheid/bger_8C_368_2013</w:t>
      </w:r>
    </w:p>
    <w:p>
      <w:r>
        <w:t>FR: TF 8C_368/2013 du 25 février 2014</w:t>
      </w:r>
    </w:p>
    <w:p>
      <w:r>
        <w:t>IT: TF 8C_368/2013 del 25 febbraio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peut prétendre la révision des prestations allouées par la CNA par décision du 2 mai 2007, entrée en force (rente d'invalidité fondée sur une incapacité de gain de 20 % et indemnité pour atteinte à l'intégrité fondée sur un taux de 10 %).</w:t>
      </w:r>
    </w:p>
    <w:p>
      <w:r>
        <w:t>La procédure portant sur l'octroi ou le refus de prestations en espèces de l'assurance-accidents, le Tribunal fédéral n'est pas lié par les faits établis par la juridiction cantonale ( art. 105 al. 3 LTF ).</w:t>
      </w:r>
    </w:p>
    <w:p>
      <w:r>
        <w:rPr>
          <w:b/>
        </w:rPr>
        <w:t>E. 3</w:t>
      </w:r>
    </w:p>
    <w:p>
      <w:r>
        <w:t>La rente d'invalidité ( art. 18 al. 1 LAA ) peut être révisée à la suite d'une modification notable du taux d'invalidité ( art. 17 al. 1 LPGA ). Cette modification peut concerner aussi bien l'état de santé que les conséquences économiques d'un état de santé demeuré en soi inchangé ( ATF 130 V 343 consid. 3.5 p. 349 s.). Pour être prise en considération, une péjoration de l'état de santé doit être en relation de causalité avec l'événement assuré (arrêt 8C_803/2012 du 15 octobre 2013 consid. 2; arrêt du Tribunal fédéral des assurances U 66/94 du 4 novembre 1994 consid. 3b).</w:t>
      </w:r>
    </w:p>
    <w:p>
      <w:r>
        <w:t>En outre, la révision de l'indemnité pour atteinte à l'intégrité n'est possible qu'exceptionnellement, si l'aggravation est importante et n'était pas prévisible (art. 36 al. 4, 2</w:t>
      </w:r>
    </w:p>
    <w:p>
      <w:r>
        <w:t>ème phrase, OLAA).</w:t>
      </w:r>
    </w:p>
    <w:p>
      <w:r>
        <w:t>Par ailleurs, les décisions et les décisions sur opposition formellement passées en force sont soumises à révision si l'assuré ou l'assureur découvre subséquemment des faits nouveaux importants ou trouve des nouveaux moyens de preuve qui ne pouvaient être produits auparavant ( art. 53 al. 1 LPGA ). En outre, l'assureur peut revenir sur les décisions ou les décisions sur opposition formellement passées en force lorsqu'elles sont manifestement erronées et que leur rectification revêt une importance notable ( art. 53 al. 2 LPGA ).</w:t>
      </w:r>
    </w:p>
    <w:p>
      <w:r>
        <w:rPr>
          <w:b/>
        </w:rPr>
        <w:t>E. 4.1</w:t>
      </w:r>
    </w:p>
    <w:p>
      <w:r>
        <w:t>La cour cantonale a nié l'existence d'une modification notable du taux d'invalidité, propre à justifier la révision de la rente d'invalidité en vertu de l' art. 17 LPGA .</w:t>
      </w:r>
    </w:p>
    <w:p>
      <w:r>
        <w:t>D'une part, la péjoration de l'état de santé de l'assuré ne pouvait pas être prise en considération, du moment qu'elle n'était pas en relation de causalité avec l'accident du 7 novembre 2003. En effet, outre le syndrome douloureux au niveau du genou et de la jambe gauches déjà pris en compte par la CNA dans sa décision de rente du 2 mai 2007, les docteurs S.________ et T.________ ont fait état d'une pathologie hépatique et de douleurs lombaires. Or, l'affection hépatique n'a pas d'effet sur la capacité de travail de l'intéressé et, en tout état de cause, n'est pas due à l'accident. Quant aux troubles lombaires, ils sont de nature dégénérative et, partant, l'existence d'un lien de causalité entre ces troubles et l'accident doit être niée.</w:t>
      </w:r>
    </w:p>
    <w:p>
      <w:r>
        <w:t>D'autre part, en ce qui concerne les neuropathies indiquées par les docteurs S.________ et T.________, la juridiction cantonale est d'avis qu'elles ne constituent pas une aggravation de l'état de santé, puisque les douleurs neurogènes sont apparues très tôt et qu'elles ont été dûment prises en compte dans la décision de rente. L'affirmation des experts prénommés, selon laquelle ces douleurs ont été sous-estimées ne permet pas d'établir une péjoration de l'état de santé mais constitue seulement une nouvelle appréciation fondée sur le même état de fait.</w:t>
      </w:r>
    </w:p>
    <w:p>
      <w:r>
        <w:rPr>
          <w:b/>
        </w:rPr>
        <w:t>E. 4.2.1</w:t>
      </w:r>
    </w:p>
    <w:p>
      <w:r>
        <w:t>De son côté, le recourant ne conteste pas explicitement le refus de la CNA - confirmé par la cour cantonale - de réviser sa rente d'invalidité en vertu de l' art. 17 LPGA mais concentre son argumentation sur la question de la révision procédurale. Dans son exposé des griefs sur cette question, l'intéressé soulève cependant un certain nombre d'objections en relation avec le point de vue des premiers juges au sujet de la révision de la rente. Il convient donc de les examiner en premier lieu.</w:t>
      </w:r>
    </w:p>
    <w:p>
      <w:r>
        <w:t>En particulier, le recourant conteste le point de vue des premiers juges selon lequel les neuropathies indiquées par les docteurs S.________ et T.________ ne constituent pas une aggravation de son état de santé, dans la mesure où les douleurs neurogènes ont été dûment prises en compte par le docteur L.________, sur l'avis duquel l'intimée s'est fondée pour rendre sa décision de rente. L'intéressé fait valoir que les docteurs S.________ et T.________ ont fait part d'une appréciation différente de celle du médecin prénommé, parce qu'ils ont pu définir la cause des douleurs et des limitations en objectivant des neuropathies avec atteintes neurogènes. L'aggravation indiquée par les docteurs S.________ et T.________ ne procède donc pas uniquement d'une appréciation médicale différente d'un même état de fait, mais bien plutôt d'un état de fait différent.</w:t>
      </w:r>
    </w:p>
    <w:p>
      <w:r>
        <w:t>Il convient donc de trancher le point de savoir s'il existe, par rapport aux constatations du docteur L.________, une aggravation de l'état de santé influant sur la capacité de travail - et de gain - du recourant et, le cas échéant, si cette aggravation est en relation de causalité avec l'accident.</w:t>
      </w:r>
    </w:p>
    <w:p>
      <w:r>
        <w:rPr>
          <w:b/>
        </w:rPr>
        <w:t>E. 4.2.2</w:t>
      </w:r>
    </w:p>
    <w:p>
      <w:r>
        <w:t>Dans son rapport d'examen médical final du 24 mars 2006, le docteur L.________ a fait état de la persistance d'un syndrome douloureux au niveau du genou et de la jambe gauches. Du point de vue fonctionnel, il a indiqué un état satisfaisant du genou et de la cheville gauches, bien qu'il persistât un " clic " rotulien à la flexion-extension , en relation avec une amyotrophie quadricipitale de deux à trois centimètres par rapport à la cuisse droite. Compte tenu de ces éléments, le médecin prénommé a attesté que l'assuré n'était plus en mesure de travailler accroupi ou à genoux, monter ou descendre les escaliers ou les échelles, marcher sur des distances de plus de cinquante mètres sans une canne ni de travailler en terrain accidenté. La capacité de travail était entière dans une activité respectant ces limitations et privilégiant la position assise, par exemple, devant un établi.</w:t>
      </w:r>
    </w:p>
    <w:p>
      <w:r>
        <w:t>De son côté, le docteur S.________ indique quatre diagnostics ayant des effets invalidants, à savoir des troubles neurologiques postopératoires, une subluxation mécaniquement palpable avec un claquement palpable net de la rotule, qui se réduit violemment à chaque flexion/ extension du genou gauche, des troubles dégénératifs lombosacrés, ainsi qu'un canal étroit d'origine mixte, constitutionnel et aggravé par une arthrose des articulations inter-apophysaires postérieures et par une lipomatose épidurale. En ce qui concerne les troubles neurologiques postopératoires, l'expert se réfère à l'avis du docteur T.________ (rapport du 15 septembre 2010), lequel relève que les douleurs neurogènes sont dues, d'une part, à une neuropathie axonale vraisemblablement totale (absence de réponse à l'examen électroneuromyographique) du nerf musculo-cutané gauche (nerf péronier superficiel) découlant d'une fracture de Maisonneuve (du tiers distal du tibia gauche et du tiers proximal du péroné gauche) traitée par ostéosynthèse et, d'autre part, à une neuropathie axonale vraisemblablement totale (absence de réponse à l'examen électroneuromyographique) du nerf saphène interne gauche découlant d'une fracture de Maisonneuve (du tiers distal du tibia gauche et du tiers proximal du péroné gauche) traitée par ostéosynthèse.</w:t>
      </w:r>
    </w:p>
    <w:p>
      <w:r>
        <w:t>Parmi les quatre diagnostics avec effet invalidant mentionnés par le docteur S.________, les troubles dégénératifs lombosacrés et le canal étroit d'origine mixte, sont indéniablement étrangers à la chute survenue le 7 novembre 2003 et ne peuvent, de ce fait, constituer une aggravation de l'état de santé apte à justifier une révision de la rente d'invalidité servie par l'assureur-accidents. Faisant abstraction de ces affections, le docteur S.________ est d'avis cependant que les troubles neurologiques et la subluxation violente et constante de la rotule entraînent à eux seuls une incapacité de travail de 100 %. Cet avis est confirmé par le docteur T.________, selon lequel les douleurs neuropathiques sur atteinte axonale du nerf musculo-cutané et du nerf saphène interne gauche sont à l'origine d'une incapacité de travail entière.</w:t>
      </w:r>
    </w:p>
    <w:p>
      <w:r>
        <w:t>L'avis des docteurs S.________ et T.________ est contesté par le docteur B.________ dans son rapport du 17 novembre 2010. Selon ce médecin, en effet, il n'est pas plausible, d'un point de vue neurologique, qu'une lésion des nerfs musculo-cutané et saphène interne à la jambe gauche soit à l'origine d'un syndrome douloureux suffisamment grave pour entraîner des limitations plus importantes que celles qui ont été attestées par le docteur L.________.</w:t>
      </w:r>
    </w:p>
    <w:p>
      <w:r>
        <w:rPr>
          <w:b/>
        </w:rPr>
        <w:t>E. 4.2.3</w:t>
      </w:r>
    </w:p>
    <w:p>
      <w:r>
        <w:t>Cela étant, il n'en demeure pas moins que pour être prise en considération au regard de l' art. 17 LPGA , une aggravation éventuelle de l'incapacité de travail - et de gain - doit être due à une atteinte à la santé en relation de causalité avec l'accident (cf. consid. 3).</w:t>
      </w:r>
    </w:p>
    <w:p>
      <w:r>
        <w:t>A cet égard, selon le docteur T.________, la neuropathie axonale vraisemblablement totale des nerfs musculo-curané et saphène est survenue à la suite d'une fracture de Maisonneuve du tiers distal du tibia gauche et du tiers proximal du péroné gauche. De son côté, le docteur G.________ est d'avis que le recourant n'a pas été victime d'une fracture de type Maisonneuve (équivalent de la fracture de la cheville avec atteinte fibulaire haute et non malléolaire), mais bien plutôt d'une fracture de la jambe, spiraloïde longue, respectivement d'une fracture tibiale au niveau de la jonction diaphyso-métaphysaire distale en aile de papillon et d'une fracture spiraloïde de la diaphyse péronière proximale. En outre, étant donné que la fracture était peu déplacée, une lésion concomitante apparaît comme peu probable. Les suites de l'intervention ayant été simples, il n'existe, selon le docteur G.________, aucun indice de complication permettant d'expliquer la survenance d'une atteinte neurologique périphérique secondaire, du type syndrome de loge. Par ailleurs, la mise en place de l'appareillage (clou, vis de verrouillage, vis antéropostérieure distale et vis de blocage) n'a pas été de nature à entrainer l'apparition de troubles neurologiques. En revanche, il est possible que de tels troubles soient en rapport avec le canal étroit congénital et acquis sur spondylarthrose et discopathie L5/S1, à savoir une pathologie rachidienne qui est sans rapport avec l'accident.</w:t>
      </w:r>
    </w:p>
    <w:p>
      <w:r>
        <w:t>Invité par le recourant à se déterminer une nouvelle fois sur le cas, le docteur S.________ ne met pas en cause l'opinion du docteur G.________ au sujet de la nature de la fracture subie par l'intéressé et du déroulement des traitements chirurgicaux, mais il est d'avis que les troubles neurologiques localisés autour du genou sont en relation avec l'accident (rapport du 8 juin 2011). Quant au docteur T.________, également invité à s'exprimer sur le cas (rapport du 8 juin 2011), il se contente d'indiquer que les fractures de type Maisonneuve entraînent souvent des complications neurologiques du genre de celles qu'il a décrites dans son rapport du 15 septembre 2010.</w:t>
      </w:r>
    </w:p>
    <w:p>
      <w:r>
        <w:rPr>
          <w:b/>
        </w:rPr>
        <w:t>E. 4.2.4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t>En l'occurrence, il n'y a pas de raison de s'écarter de l'avis du docteur G.________, selon lequel le recourant n'a pas été victime d'une fracture de type Maisonneuve lors de l'accident du 7 novembre 2003. D'ailleurs, sur ce point, il n'est pas contredit par les docteurs S.________ et T.________. En outre, ces médecins ne remettent pas non plus en cause le point de vue du docteur G.________ lorsqu'il indique qu'aucun indice de complication dans le traitement ni la mise en place de l'appareillage ne permettent d'expliquer la survenance d'une atteinte neurologique. Dans ces conditions, l'existence d'une aggravation de l'incapacité de travail - et de gain - due à des troubles neurologiques en relation de causalité avec l'accident doit être niée. Par ailleurs, les docteurs S.________ et T.________ n'exposent pas les motifs pour lesquels le taux d'incapacité de travail découlant des troubles déjà attestés par le docteur L.________ (persistance d'un syndrome douloureux au niveau du genou et de la jambe gauches et présence d'un phénomène de subluxation au niveau de la rotule) devrait être revu à la hausse par rapport au taux indiqué par ce médecin.</w:t>
      </w:r>
    </w:p>
    <w:p>
      <w:r>
        <w:t>Cela étant, il convient, sans qu'il soit nécessaire d'ordonner une instruction complémentaire - comme le demande le recourant - , de se fonder sur les conclusions dûment motivées des docteurs B.________ et G.________. C'est pourquoi l'existence, par rapport au tableau clinique attesté par le docteur L.________, d'une aggravation de l'incapacité de travail - ou de gain - découlant d'une atteinte à la santé en relation de causalité avec l'accident survenu le 7 novembre 2003 doit être niée. Pour ce motif, la cour cantonale était fondée à confirmer le refus de l'intimée de réviser la rente d'invalidité en vertu de l' art. 17 LPGA . Il n'y avait pas non plus motif à réviser l'indemnité pour atteinte à l'intégrité (cf. art. 36 al. 4, 2ème phrase, OLAA).</w:t>
      </w:r>
    </w:p>
    <w:p>
      <w:r>
        <w:rPr>
          <w:b/>
        </w:rPr>
        <w:t>E. 5.1</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8C_868/2010 du 6 septembre 2011 consid. 3.2).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 ATF 127 V 353 consid. 5b p. 358 et les références; arrêts 8C_868/2010 du 6 septembre 2011 consid. 3.2; 8F_9/2010 du 10 mars 2011 consid. 3.1).</w:t>
      </w:r>
    </w:p>
    <w:p>
      <w:r>
        <w:rPr>
          <w:b/>
        </w:rPr>
        <w:t>E. 5.2</w:t>
      </w:r>
    </w:p>
    <w:p>
      <w:r>
        <w:t>En l'espèce, dans la mesure où ils n'attestent, par rapport à l'état de fait qui est à la base de la décision d'octroi de prestations du 2 mai 2007, aucune aggravation de l'état de santé du recourant qui soit en relation de causalité avec l'accident, les avis des docteurs S.________ et T.________ ne contiennent aucun fait nouveau de nature à modifier l'état de fait qui est à la base de cette décision. Tout au plus, ils donnent une appréciation différente de la capacité de travail de l'intéressé, ce qui ne suffit pas cependant pour justifier la révision de la décision d'octroi de la rente et de l'indemnité pour atteinte à l'intégrité en vertu de l' art. 53 al. 1 LPGA . En outre, ces avis médicaux ne font pas non plus apparaître ladite décision comme manifestement erronée au sens de l' art. 53 al. 2 LPGA .</w:t>
      </w:r>
    </w:p>
    <w:p>
      <w:r>
        <w:rPr>
          <w:b/>
        </w:rPr>
        <w:t>E. 6</w:t>
      </w:r>
    </w:p>
    <w:p>
      <w:r>
        <w:t>Vu ce qui précède, le jugement attaqué n'est pas critiquable et le recours se révèle mal fondé.</w:t>
      </w:r>
    </w:p>
    <w:p>
      <w:r>
        <w:t>Etant donné l'issue du litige, les frais de la cause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