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8C_368/2012 vom 23. November 2012</w:t>
      </w:r>
    </w:p>
    <w:p>
      <w:r>
        <w:t>Bundesgericht, 2012-11-23, DE</w:t>
      </w:r>
    </w:p>
    <w:p>
      <w:r>
        <w:rPr>
          <w:b/>
        </w:rPr>
        <w:t xml:space="preserve">Quelle: </w:t>
      </w:r>
      <w:r>
        <w:t>https://mcp.opencaselaw.ch/entscheid/bger_8C_368_2012</w:t>
      </w:r>
    </w:p>
    <w:p>
      <w:r>
        <w:t>FR: TF 8C_368/2012 du 23 novembre 2012</w:t>
      </w:r>
    </w:p>
    <w:p>
      <w:r>
        <w:t>IT: TF 8C_368/2012 del 23 novembre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Streitig und zu prüfen ist, ob die Herabsetzung der ganzen Invalidenrente mittels Wiedererwägung der Verfügung vom 3. November 1995 Bundesrecht verletzt, wohingegen unbestritten ist, dass eine revisionsweise Rentenherabsetzung nicht möglich ist.</w:t>
      </w:r>
    </w:p>
    <w:p>
      <w:r>
        <w:rPr>
          <w:b/>
        </w:rPr>
        <w:t>E. 2.2</w:t>
      </w:r>
    </w:p>
    <w:p>
      <w:r>
        <w:t>Die IV-Stelle kann nach Art. 53 Abs. 2 in Verbindung mit Art. 2 ATSG und Art. 1 Abs. 1 IVG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des Art. 17 ATSG nicht erfüllt sind. Die Wiedererwägung dient der Korrektur einer anfänglich unrichtigen Rechtsanwendung einschliesslich unrichtiger Feststellung im Sinne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8C_647/2011 vom 4. Januar 2012 E. 2.3, 9C_339/2010 vom 30. November 2010 E. 3, 9C_760/2010 vom 17. November 2010 E. 2 und 9C_575/2007 vom 18. Oktober 2007 mit Hinweisen).</w:t>
      </w:r>
    </w:p>
    <w:p>
      <w:r>
        <w:t>Ob die Verwaltung bei der Rentenzusprache den Untersuchungsgrundsatz (vgl. Art. 43 Abs. 1 ATSG ; BGE 132 V 93 E. 4 S. 99 f.) und die Beweiswürdigungsregeln ( BGE 134 V 231 E. 5.1 S. 232; 125 V 351 E. 3 S. 352 ff.) beachtet hat, sind frei überprüfbare Rechtsfragen ( BGE 132 V 393 E. 3.2 S. 397 ff. und E. 4 S. 399 ff.).</w:t>
      </w:r>
    </w:p>
    <w:p>
      <w:r>
        <w:rPr>
          <w:b/>
        </w:rPr>
        <w:t>E. 3</w:t>
      </w:r>
    </w:p>
    <w:p>
      <w:r>
        <w:t>Da mit Verfügung vom 3. November 1995 eine unbefristete halbe Invalidenrente zugesprochen worden war, steht ausser Frage, dass die Berichtigung der Verfügung im Falle zweifelloser Unrichtigkeit als erheblich einzustufen wäre. Zu prüfen ist die zweifellose Unrichtigkeit.</w:t>
      </w:r>
    </w:p>
    <w:p>
      <w:r>
        <w:rPr>
          <w:b/>
        </w:rPr>
        <w:t>E. 3.1</w:t>
      </w:r>
    </w:p>
    <w:p>
      <w:r>
        <w:t>Die IV-Stelle und die Vorinstanz haben als Grund für die den wiedererwägungsweisen Eingriff ins Rentenverhältnis rechtfertigende Annahme zweifelloser Unrichtigkeit erwogen, die Zusprechung einer halben Invalidenrente mit Verfügung vom 3. November 1995 habe darauf beruht, dass das zumutbare Invalideneinkommen anhand der Arbeitsfähigkeit und Verdienstmöglichkeit des Beschwerdeführers als Kranführer bemessen worden sei. Gemäss dem Gutachten der Klinik X.________ vom 9. Mai 1995 sei der Versicherte als Kranführer zu 50 %, in einer behinderungsadaptierten Hilfsarbeit jedoch zu 100 % arbeitsfähig gewesen. Das korrekte Vorgehen bei der erstmaligen Prüfung des Rentenanspruchs im Jahr 1995 hätte daher - so das kantonale Gericht - darin bestanden, das zumutbare Invalideneinkommen anhand des durchschnittlichen Einkommens eines Hilfsarbeiters zu ermitteln, was - in Gegenüberstellung mit dem Valideneinkommen - mangels Vorliegens eines rentenbegründenden Invaliditätsgrades zu einer Abweisung des Rentenbegehrens geführt hätte.</w:t>
      </w:r>
    </w:p>
    <w:p>
      <w:r>
        <w:rPr>
          <w:b/>
        </w:rPr>
        <w:t>E. 3.2</w:t>
      </w:r>
    </w:p>
    <w:p>
      <w:r>
        <w:t>Wie die Vorinstanz dargelegt hat, wurde dem Beschwerdeführer im Gutachten der Klinik X.________ vom 9. Mai 1995 aufgrund der Rückenbeschwerden eine 100%ige Arbeitsunfähigkeit als Maurer, eine 50%ige Arbeitsunfähigkeit als Kranführer und eine 100%ige Arbeitsfähigkeit in einer Tätigkeit ohne dauernd starke Rückenbelastung attestiert. Gestützt darauf ging die IV-Stelle davon aus, dass dem Versicherten neben dem eingeschränkten Pensum als Kranführer täglich drei bis vier Stunden leichte Hilfsarbeiten zumutbar sind. Für das dem Einkommensvergleich zugrunde zu legende Invalideneinkommen zog die IV-Stelle den monatlichen Lohn von Fr. 2'635.- bei, den der Beschwerdeführer für die Kranführer- und Hilfsarbeitertätigkeit erhielt, was einem Jahreseinkommen von Fr. 31'620.- entsprach, und erhöhte dieses auf Fr. 34'250.-. Im Vergleich mit dem Valideneinkommen ermittelte sie einen Invaliditätsgrad von 50 %.</w:t>
      </w:r>
    </w:p>
    <w:p>
      <w:r>
        <w:rPr>
          <w:b/>
        </w:rPr>
        <w:t>E. 3.3</w:t>
      </w:r>
    </w:p>
    <w:p>
      <w:r>
        <w:t>Entgegen der vorinstanzlichen Feststellung, der Invaliditätsgrad sei lediglich anhand der Invalidenkarriere als Kranführer ermittelt worden, hat die IV-Stelle der Verfügung vom 3. November 1995 ein Invalideneinkommen basierend auf der reduzierten Tätigkeit als Kranführer sowie der zusätzlichen Hilfsarbeitertätigkeit zugrunde gelegt. Diese Tätigkeit war das Ergebnis der beruflichen Eingliederungsmassnahmen der Invalidenversicherung, namentlich einer Umschulung zum Kranführer, während welcher der Versicherte sich bei einem Unfall eine Sitzbeinfraktur zuzog. Dass die IV-Stelle auf die eingeschränkte Tätigkeit als Kranführer und die zusätzliche Hilfsarbeitertätigkeit und nicht auf eine 100%ige Hilfsarbeitertätigkeit abgestellt hat, mag als diskutabel, aber selbst aus heutiger Sicht nicht als unvertretbar erscheinen. Berentungen in Verhältnissen wie den hier vorliegenden entsprachen damals einer weit verbreiteten Rechtspraxis und insbesondere auch dem damals seitens der Durchführungs-organe noch nicht weiter hinterfragten subjektiven Krankheitsbegriff in der praktizierenden Medizin, welche Gesichtspunkte erst mit der 4. und 5. IV-Revision und der Begründung der Rechtsprechung BGE 130 V 352 ff. in den Vordergrund rückten. Auch dass die IV-Stelle das Invalideneinkommen aus der effektiv ausgeübten Tätigkeit als Verweisungstätigkeit und nicht anhand statistischer Durchschnittswerte ermittelte, lässt nicht den Schluss auf zweifellose Unrichtigkeit der sich darauf stützenden Rentenverfügung zu. Einerseits erscheint diese Invaliditätsbemessung vor dem Hintergrund der Sach- und Rechtslage im Zeitpunkt der Leistungszusprechung als vertretbar, andrerseits wäre bei der Ermittlung des Invalideneinkommens anhand von Durchschnittswerten ein leidensbedingter Abzug vorzunehmen gewesen, was eine allfällige Differenz der beiden Invalideneinkommen erheblich verkleinert hätte. Indem das kantonale Gericht gegenteilig entschied, hat es den bundesrechtlichen Begriff der zweifellosen Unrichtigkeit nach Art. 53 Abs. 2 ATSG überspannt und damit Bundesrecht verletzt (E. 1).</w:t>
      </w:r>
    </w:p>
    <w:p>
      <w:r>
        <w:rPr>
          <w:b/>
        </w:rPr>
        <w:t>E. 4</w:t>
      </w:r>
    </w:p>
    <w:p>
      <w:r>
        <w:t>Fehlt es somit bei bundesrechtskonformer Betrachtungsweise an der zweifellosen Unrichtigkeit der Verfügung vom 3. November 1995, fällt deren Wiedererwägung als Rechtstitel für die streitige Rentenherabsetzung dahin. Damit erübrigt sich auch hier die Prüfung der Frage, ob sich die zweifellose Unrichtigkeit auf die ursprüngliche Rentenverfügung beziehen muss oder ob auch das Ergebnis einer Revision der Wiedererwägung zugänglich ist (vgl. dazu Urteil 8C_647/2011 vom 4. Januar 2012 E. 4.2).</w:t>
      </w:r>
    </w:p>
    <w:p>
      <w:r>
        <w:rPr>
          <w:b/>
        </w:rPr>
        <w:t>E. 5</w:t>
      </w:r>
    </w:p>
    <w:p>
      <w:r>
        <w:t>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