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368/2011 vom 5. September 2011</w:t>
      </w:r>
    </w:p>
    <w:p>
      <w:r>
        <w:t>Bundesgericht, 2011-09-05, DE</w:t>
      </w:r>
    </w:p>
    <w:p>
      <w:r>
        <w:rPr>
          <w:b/>
        </w:rPr>
        <w:t xml:space="preserve">Quelle: </w:t>
      </w:r>
      <w:r>
        <w:t>https://mcp.opencaselaw.ch/entscheid/bger_8C_368_2011</w:t>
      </w:r>
    </w:p>
    <w:p>
      <w:r>
        <w:t>FR: TF 8C 368/2011 du 5 septembre 2011</w:t>
      </w:r>
    </w:p>
    <w:p>
      <w:r>
        <w:t>IT: TF 8C 368/2011 del 5 settembre 2011</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und die (weiteren) Eintretensvoraussetzungen von Amtes wegen und mit freier Kognition (vgl. BGE 135 II 94 E. 1 S. 96; Urteil 8C_88/2009 vom 4. August 2009 E. 1; je mit Hinweisen).</w:t>
      </w:r>
    </w:p>
    <w:p>
      <w:r>
        <w:rPr>
          <w:b/>
        </w:rPr>
        <w:t>E. 1.1</w:t>
      </w:r>
    </w:p>
    <w:p>
      <w:r>
        <w:t>Der angefochtene Entscheid, ein Endentscheid einer letzten kantonalen Instanz ( Art. 86 Abs. 1 lit. d, Art. 90 BGG ), betrifft die Auflösung eines öffentlich-rechtlichen Arbeitsverhältnisses - also eine öffentlich-rechtliche Angelegenheit im Sinne von Art. 82 lit. a BGG - und ist infolge seiner Auswirkungen auf Lohnansprüche vermögensrechtlicher Natur ( Art. 83 lit. g BGG ; Urteil 8C_229/2011 vom 10. August 2011 E. 2.1).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Laut Lohnberechnungsblatt vom 24. November 2008 zur (10 B 12) Lohnbasis 2008 erzielte der Beschwerdeführer im Rahmen seines 100%igen Pensums ein Jahreseinkommen von jedenfalls mehr als 70'000 Franken. Das Streitwerterfordernis von Fr. 15'000.- ( Art. 85 Abs. 1 lit. b BGG ) ist somit erfüllt (vgl. Urteil 8C_260/2010 vom 12. Januar 2011 E. 1.2). Gleiches gilt für die übrigen Voraussetzungen des Eintretens auf die Beschwerde.</w:t>
      </w:r>
    </w:p>
    <w:p>
      <w:r>
        <w:rPr>
          <w:b/>
        </w:rPr>
        <w:t>E. 1.2</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siehe auch BGE 136 II 304 E. 2.5 S. 314). "Offensichtlich unrichtig" bedeutet dabei "willkürlich" ( BGE 133 II 249 E. 1.2.2 S. 252).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vgl. auch BGE 136 II 304 E. 2.5 S. 314). Das Bundesgericht legt seinem Urteil den Sachverhalt zugrunde, den die Vorinstanz festgestellt hat ( Art. 105 Abs. 1 BGG ). Rügen gegen die Sachverhaltsfeststellung sind nur zulässig, wenn diese offensichtlich unrichtig ist oder auf einer Rechtsverletzung im Sinne von Art. 95 BGG beruht und wenn die Behebung des Mangels für den Ausgang des Verfahrens entscheidend sein kann.</w:t>
      </w:r>
    </w:p>
    <w:p>
      <w:r>
        <w:rPr>
          <w:b/>
        </w:rPr>
        <w:t>E. 2.1</w:t>
      </w:r>
    </w:p>
    <w:p>
      <w:r>
        <w:t>Das kantonale Gericht hat dargelegt, dass ein öffentlich-rechtliches Arbeitsverhältnis - wie es zwischen den Parteien bestand - nach § 16 des Personalgesetzes vom 25. September 1997 des Kantons Basel-Landschaft (PG/BL; SGS Nr. 150) unter anderem durch Kündigung, Ablauf einer befristeten Anstellung, fristlose Auflösung oder Auflösung in gegenseitigem Einvernehmen (lit. a-d von § 16 PG /BL) endet. Die Beendigung im gegenseitigen Einvernehmen hat in schriftlicher Form zu erfolgen ( § 24 PG /BL in Verbindung mit § 18 der Personalverordnung vom 19. Dezember 2000 des Kantons Basel-Landschaft [PV/BL; SGS Nr. 150.11]). Als wesentlichen Grund für eine ordentliche Kündigung nennt § 19 PG /BL in Abs. 3 unter anderem eine längerfristige oder dauernde Verhinderung an der Aufgabenerfüllung ( § 19 Abs. 3 lit. a PG /BL). Auf die Kündigung zur Unzeit sind die Bestimmungen des Obligationenrechts nach Ablauf der Probezeit sinngemäss anzuwenden, wobei im Falle unverschuldeter Krankheit oder unverschuldeten Unfalls jedoch die Sperrfrist im ersten Anstellungsjahr 90 Tage, danach 180 Tage beträgt ( § 26 PG /BL). In Anwendung dieser Bestimmungen erkannte die Vorinstanz, dass die Auflösung des unbefristeten Arbeitsverhältnisses in gegenseitigem Einvernehmen durch einen echten Vergleich trotz der wegen anhaltender krankheitsbedingter Arbeitsunfähigkeit erst am 24. Dezember 2008 ablaufenden 180-tägigen Sperrfrist zulässig war.</w:t>
      </w:r>
    </w:p>
    <w:p>
      <w:r>
        <w:rPr>
          <w:b/>
        </w:rPr>
        <w:t>E. 2.2</w:t>
      </w:r>
    </w:p>
    <w:p>
      <w:r>
        <w:t>Art. 336c Abs. 1 lit. b OR sieht vor, dass der Arbeitgeber im Laufe bestimmter Sperrfristen nicht kündigen darf, während der Arbeitnehmer ohne eigenes Verschulden durch Krankheit oder durch Unfall ganz oder teilweise an der Arbeitsleistung verhindert ist. Gemäss Art. 341 Abs. 1 OR kann der Arbeitnehmer während der Dauer des Arbeitsverhältnisses und eines Monats nach dessen Beendigung auf Forderungen, die sich aus unabdingbaren Vorschriften des Gesetzes oder aus unabdingbaren Bestimmungen eines Gesamtarbeitsvertrages ergeben, nicht verzichten. Sind diese Bestimmungen nach Massgabe der Verweisung von § 26 PG /BL auf das vorliegende öffentlich-rechtliche Angestelltenverhältnis sinngemäss anwendbar, verbietet jedoch die relative Unverzichtbarkeit dieser Vorschriften nicht, das Arbeitsverhältnis jederzeit durch den Abschluss eines auf übereinstimmenden und mängelfreien Willenserklärungen beruhenden Aufhebungsvertrags aufzulösen, sofern eine solche Vereinbarung nicht zu einer klaren Umgehung des zwingenden Kündigungsschutzes führt (vgl. Urteil 2A.650/2006 vom 30. Mai 2007 E. 2.2.1; vgl. auch Urteile 4A_187/2010 vom 6. September 2010 E. 2.5 [nicht publ. in BGE 136 III 510 ] und 4A_103/2010 vom 16. März 2010 E. 2.2, je mit Hinweisen). Mit anderen Worten müssen beide Parteien auf Rechte verzichten, so dass es sich um einen echten Vergleich mit gegenseitigem Nachgeben handelt, der nicht nur dem Arbeitgeber Vorteile bringt (vgl. BGE 119 II 449 E. 2a S. 450; 118 II 58 E. 2a S. 61; 115 V 437 E. 4b S. 443; 110 II 168 E. 3b S. 171; SJ 2003 I 220 E. 2 ; 1999 I 277 E. 2b; je mit weiteren Hinweisen).</w:t>
      </w:r>
    </w:p>
    <w:p>
      <w:r>
        <w:rPr>
          <w:b/>
        </w:rPr>
        <w:t>E. 2.3</w:t>
      </w:r>
    </w:p>
    <w:p>
      <w:r>
        <w:t>Das kantonale Gericht hat mit ausführlicher und überzeugender Begründung, worauf verwiesen wird, zutreffend erkannt, dass mit dem am 24. November 2008 bzw. 8. Dezember 2008 von den Parteien unterzeichneten befristete Arbeitsvertrag ein echter Vergleich in gegenseitigem Einvernehmen über die Beendigung des unbefristeten Arbeitsverhältnisses abgeschlossen wurde. Unter den genannten Voraussetzungen im Sinne von E. 2.2 hievor war dieses Vorgehen entgegen dem Beschwerdeführer nicht erst nach Ablauf, sondern schon während der noch laufenden Sperrfrist zulässig. Zum einen war er bei Unterzeichnung des für die Dauer vom 1. Januar bis 31. Dezember 2009 befristeten Arbeitsverhältnisse noch voll arbeitsunfähig (gemäss Arbeitsunfähigkeitszeugnis der behandelnden Psychiaterin vom 1. Dezember 2008 noch bis zum 12. Januar 2009) und zwar - nach der vorinstanzlichen Sachverhaltsfeststellung - aus Gründen eines "womöglich krankheitsauslösenden bzw. -erhaltenden Konfliktes mit dem Leiter des RAV X.________". Zum anderen wurde dem Beschwerdeführer mit Abschluss dieses Arbeitsvertrages am 4. Dezember 2008 zugesichert, nicht mehr im RAV X.________ arbeiten zu müssen und bei der "weiteren Stellensuche aktiv und fachmännisch unterstützt" zu werden. Zudem anerbot sich der stellvertretende Vorsitzende des KIGA, als Referenz zur Verfügung zu stehen. Nach mündlicher Vorbesprechung dieses Vorgehens vom 7. November 2008 stand der Beschwerdeführer gemäss Tatsachenfeststellung des kantonalen Gerichts hinsichtlich der Vertragsunterzeichnung unter keinem Zeitdruck. Anlässlich des im ausdrücklichen Einverständnis mit dem Beschwerdeführer am 7. November 2008 geführten Gespräches zur beruflichen und medizinischen Standortbestimmung wurde zusammen mit dem Eingliederungsverantwortlichen der IV-Stelle Basel-Landschaft im Rahmen der Früherfassung vereinbart, dass der Beschwerdeführer die Dauer des befristeten Arbeitsverhältnisses zur Suche einer neuen, für ihn geeigneteren Arbeitsstelle nutzen werde.</w:t>
      </w:r>
    </w:p>
    <w:p>
      <w:r>
        <w:rPr>
          <w:b/>
        </w:rPr>
        <w:t>E. 3</w:t>
      </w:r>
    </w:p>
    <w:p>
      <w:r>
        <w:t>Der Beschwerdeführer macht geltend, der angefochtene Entscheid verstosse gegen Bundesrecht und kantonales Verfassungsrecht. Insbesondere habe die Vorinstanz das Verhältnismässigkeitsprinzip und das Prinzip des öffentlichen Interesses im Sinne von Art. 5 Abs. 2 BV sowie das Willkürverbot von Art. 9 BV verletzt.</w:t>
      </w:r>
    </w:p>
    <w:p>
      <w:r>
        <w:rPr>
          <w:b/>
        </w:rPr>
        <w:t>E. 3.1</w:t>
      </w:r>
    </w:p>
    <w:p>
      <w:r>
        <w:t>Das in Art. 5 Abs. 2 BV als allgemeiner Verfassungsgrundsatz verankerte Verhältnismässigkeitsgebot kann im Rahmen einer Beschwerde in öffentlich-rechtlichen Angelegenheiten bei der Anwendung kantonalen und kommunalen Rechts ausserhalb des Schutzbereichs spezieller Grundrechte nur unter dem Gesichtswinkel des Willkürverbots angerufen werden ( BGE 134 I 153 E. 4.3 S. 158). Dem Einwand des Beschwerdeführers, der am 24. November 2008 bzw. 8. Dezember 2008 erfolgte Abschluss des vom 1. Januar bis 31. Dezember 2009 befristeten Arbeitsvertrages verletze das Verhältnismässigkeitsprinzip, kommt demzufolge gegenüber der gerügten Verletzung des Willkürverbots keine selbstständige Bedeutung zu. Zusammen mit der Rüge der Verletzung des Willkürverbots kann nur geltend gemacht werden, die vorinstanzlich geschützte Beendigung des Arbeitsverhältnisses per 31. Dezember 2009 sei krass unangemessen (Urteile 8C_340/2009 vom 24. August 2009 E. 4.4.2 und 1C_42/2007 vom 29. November 2007 E. 3.6.2). Das Bundesgericht hebt einen Entscheid jedoch nur dann auf, wenn er sich mit sachlichen Gründen schlechthin nicht vertreten lässt oder in stossender Weise dem Gerechtigkeitsgedanken zuwiderläuft und nicht bloss die Begründung, sondern auch das Ergebnis unhaltbar ist ( BGE 134 II 124 E. 4.1 S. 133 ; 133 I 149 E. 3.1 S. 153 mit Hinweisen). Auch die gerügte Verletzung von § 4 der Verfassung des Kantons Basel-Landschaft vom 17. Mai 1984 (SGS Nr. 100) ist nur unter diesem Aspekt des Willkürverbots zu untersuchen, zumal der Beschwerdeführer nicht darlegt, inwiefern ihm diese kantonale Verfassungsbestimmung ein über die bundesverfassungsmässigen Ansprüche hinausgehendes Recht einräumt.</w:t>
      </w:r>
    </w:p>
    <w:p>
      <w:r>
        <w:rPr>
          <w:b/>
        </w:rPr>
        <w:t>E. 3.2</w:t>
      </w:r>
    </w:p>
    <w:p>
      <w:r>
        <w:t>Wie bereits gezeigt (E. 2.2 hievor), war die Beschwerdegegnerin trotz der noch laufenden Sperrfrist unter den genannten Voraussetzungen zulässigerweise berechtigt, mit dem Beschwerdeführer im Rahmen eines echten Vergleiches auch über den Abschluss eines Aufhebungsvertrages im gegenseitigen Einvernehmen eine Vereinbarung zur Beendigung des unbefristeten Arbeitsverhältnisses zu suchen. Der Beschwerdeführer verkennt, dass es hier nicht um die Frage der Zulässigkeit einer sofortigen Kündigung kurz vor Ablauf der Sperrfrist geht, sondern einzig um die Frage, ob das kantonale Gericht das Willkürverbot verletzte, indem es feststellte, dass sich die Parteien unter gegenseitigem Nachgeben in einem echten Vergleich durch Abschluss eines befristeten Arbeitsvertrages über die Beendigung des Arbeitsverhältnisses einvernehmlich geeinigt haben.</w:t>
      </w:r>
    </w:p>
    <w:p>
      <w:r>
        <w:rPr>
          <w:b/>
        </w:rPr>
        <w:t>E. 3.3</w:t>
      </w:r>
    </w:p>
    <w:p>
      <w:r>
        <w:t>Zunächst wurde dem Beschwerdeführer von Arbeitgeberseite zugesichert, während der Dauer des befristeten Arbeitsverhältnisses nicht mehr im RAV X.________ tätig sein zu müssen, weil offenbar der Leiter des RAV X.________ aus subjektiver Sicht des Arbeitnehmers die angebliche Ursache des "womöglich krankheitsauslösenden bzw. -erhaltenden Konfliktes" gewesen war. Dass jedoch nicht der Arbeitsort bzw. der Leiter des RAV X.________, sondern vielmehr das Anforderungsprofil der Arbeitsstelle (vgl. hiezu nachfolgend E. 3.4 i.f.) die Hauptursache der psychisch bedingten Arbeitsunfähigkeit war, zeigt sich an der Tatsache, dass der Beschwerdeführer trotz seines neuen Dienstortes in Y.________ ab Januar 2009 noch bis Juli 2009 - zumindest teilweise - arbeitsunfähig blieb und bereits ab November 2009 erneut arbeitsunfähig wurde. Soweit der Arbeitnehmer das Entgegenkommen auf Seiten der Beschwerdegegnerin hinsichtlich der Verlegung des Arbeitsortes als blosse Erfüllung der auch einem öffentlichen Arbeitgeber obliegenden Fürsorgepflicht (vgl. dazu Urteil 8C_340/2009 E. 4.3.2 mit Hinweisen) darstellt, ändert dies nichts daran, dass dem Beschwerdeführer darüber hinaus weitere Vorteile gewährt wurden. Durch die Bereitschaft zur Erteilung von Referenzauskünften sowie die Zusicherung einer aktiven professionellen Unterstützung bei der Suche nach einer geeigneten Arbeitsstelle durch den Personalberater der Arbeitgeberin war der Beschwerdeführer nach Wiedererlangung der vollen Arbeitsfähigkeit hinsichtlich des Fortkommens auf dem allgemeinen Arbeitsmarkt in der besseren Ausgangslage im Vergleich zur Situation als anhaltend Arbeitsunfähiger in gekündigtem Arbeitsverhältnis. Denn nach Ablauf der Sperrfrist per 24. Dezember 2008 hätte der Beschwerdeführer infolge der längerfristigen Verhinderung an der Arbeitserfüllung gemäss § 19 Abs. 3 lit. a PG /BL mit der Kündigung rechnen müssen, so dass er sich anschliessend nur noch aus gekündigter Stellung heraus um eine neue Arbeit hätte bewerben können und aus diesem Grund gerichtsnotorisch auf dem Arbeitsmarkt jedenfalls in einer ungünstigeren Ausgangslage gewesen wäre.</w:t>
      </w:r>
    </w:p>
    <w:p>
      <w:r>
        <w:rPr>
          <w:b/>
        </w:rPr>
        <w:t>E. 3.4</w:t>
      </w:r>
    </w:p>
    <w:p>
      <w:r>
        <w:t>Schliesslich wurde dem Beschwerdeführer bei Abschluss des befristeten Arbeitsvertrages nach der für das Bundesgericht grundsätzlich verbindlichen Sachverhaltsfeststellung des kantonalen Gerichts weder zugesichert noch in Aussicht gestellt, das Arbeitsverhältnis über den 31. Dezember 2009 hinaus zu verlängern. Der Beschwerdeführer legt nicht dar, inwiefern diese Tatsachenfeststellung rechtsfehlerhaft sei. Weiter hat die Vorinstanz willkürfrei ausgeschlossen, dass der Beschwerdeführer bei Unterzeichnung des befristeten Arbeitsvertrages am 8. Dezember 2008 einem Irrtum unterlegen sei und der Aufhebungsvertrag an einem Willensmangel leide. Der Beschwerdeführer zeigt nicht auf, inwiefern die vorinstanzliche Feststellung der tatsächlichen Verhältnisse offensichtlich unrichtig sei. Entgegen seiner Behauptung ist aktenkundig hinlänglich erstellt, dass er nicht nur den Arbeitsortswechsel anstrebte, sondern sich aufgrund der Ergebnisse des Standortgespräches vom 7. November 2008 mit dem stellvertretenden Vorsteher des KIGA und dem Eingliederungsverantwortlichen der IV-Stelle Basel-Landschaft dazu entschlossen hatte, sich eine weniger stressbelastete Stelle ohne permanenten Kundenkontakt suchen und dafür die Zeitdauer des befristeten Arbeitsverhältnisses nutzen zu wollen.</w:t>
      </w:r>
    </w:p>
    <w:p>
      <w:r>
        <w:rPr>
          <w:b/>
        </w:rPr>
        <w:t>E. 3.5</w:t>
      </w:r>
    </w:p>
    <w:p>
      <w:r>
        <w:t>Was der Beschwerdeführer im Übrigen gegen den angefochtenen Entscheid vorbringt, kann ein anderes Ergebnis nicht rechtfertigen. Er vermag weder einzeln noch gesamthaft darzutun, dass der von der Vorinstanz festgehaltene Sachverhalt offensichtlich unzutreffend wäre. Ebenso wenig ist dieser unter Verletzung des rechtlichen Gehörs oder sonstigen Verfahrensverstössen ermittelt worden.</w:t>
      </w:r>
    </w:p>
    <w:p>
      <w:r>
        <w:rPr>
          <w:b/>
        </w:rPr>
        <w:t>E. 3.6</w:t>
      </w:r>
    </w:p>
    <w:p>
      <w:r>
        <w:t>Nach dem Gesagten hat das kantonale Gericht kein Bundesrecht verletzt, wenn es die Auflösungsvereinbarung als rechtsgültig eingestuft hat.</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