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368/2010 vom 24. November 2010</w:t>
      </w:r>
    </w:p>
    <w:p>
      <w:r>
        <w:t>Bundesgericht, 2010-11-24, DE</w:t>
      </w:r>
    </w:p>
    <w:p>
      <w:r>
        <w:rPr>
          <w:b/>
        </w:rPr>
        <w:t xml:space="preserve">Quelle: </w:t>
      </w:r>
      <w:r>
        <w:t>https://mcp.opencaselaw.ch/entscheid/bger_8C_368_2010</w:t>
      </w:r>
    </w:p>
    <w:p>
      <w:r>
        <w:t>FR: TF 8C 368/2010 du 24 novembre 2010</w:t>
      </w:r>
    </w:p>
    <w:p>
      <w:r>
        <w:t>IT: TF 8C 368/2010 del 24 novembre 2010</w:t>
      </w:r>
    </w:p>
    <w:p>
      <w:pPr>
        <w:pStyle w:val="Heading2"/>
      </w:pPr>
      <w:r>
        <w:t>Regeste</w:t>
      </w:r>
    </w:p>
    <w:p>
      <w:r>
        <w:t>Invalidenversicherung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8C_585/2009 vom 5. Januar 2010 E. 1.2 mit Hinweisen).</w:t>
      </w:r>
    </w:p>
    <w:p>
      <w:r>
        <w:rPr>
          <w:b/>
        </w:rPr>
        <w:t>E. 2.1</w:t>
      </w:r>
    </w:p>
    <w:p>
      <w:r>
        <w:t>Die streitige Verfügung datiert vom 3. Februar 2009. Somit sind für die Zeit bis Ende 2003 sowie bis Ende 2007 die damals geltenden Bestimmungen und ab 1. Januar 2004 bzw. ab 1. Januar 2008 die neuen Normen der 4. bzw. 5. IV-Revision anzuwenden ( BGE 132 V 215 E. 3.1.1 S. 220, 130 V 445). Dies ist materiellrechtlich jedoch ohne Belang, weil diese IV-Revisionen bezüglich der Invaliditätsbemessung keine substanziellen Änderungen gebracht haben, sodass die zur altrechtlichen Regelung ergangene Rechtsprechung weitergilt (Urteil 8C_249/2010 vom 1. Juni 2010 E. 2.1). Neu normiert wurde hingegen im Rahmen der 5. IV-Revision der Rentenbeginn ( Art. 29 Abs. 1 IVG ), was angesichts des beantragten Rentenbeginns ab 6. November 2001 vorliegend ebenfalls ohne Belang bleibt.</w:t>
      </w:r>
    </w:p>
    <w:p>
      <w:r>
        <w:rPr>
          <w:b/>
        </w:rPr>
        <w:t>E. 2.2</w:t>
      </w:r>
    </w:p>
    <w:p>
      <w:r>
        <w:t>Das kantonale Gericht hat die Grundlagen über die Invalidität ( Art. 8 Abs. 1 ATSG ; Art. 4 Abs. 1 IVG ) richtig dargelegt. Gleiches gilt hinsichtlich der Ausführungen über den invalidisierenden Charakter psychischer Gesundheitsschäden ( BGE 131 V 49 E. 1.2 S. 50 f.; 130 V 352 ff., 396 ff.), die Aufgabe des Arztes bei der Invaliditätsbemessung ( BGE 132 V 93 E. 4 S. 99 mit Hinweis) und den Beweiswert ärztlicher Berichte und Gutachten ( BGE 134 V 231 E. 5.1 S. 232 mit Hinweis). Darauf wird verwiesen.</w:t>
      </w:r>
    </w:p>
    <w:p>
      <w:r>
        <w:rPr>
          <w:b/>
        </w:rPr>
        <w:t>E. 3.1</w:t>
      </w:r>
    </w:p>
    <w:p>
      <w:r>
        <w:t>Die Vorinstanz erwog nach eingehender Darstellung der medizinischen Aktenlage, das Gutachten der Abklärungsstelle X.________ vom 22. September 2008 ermögliche insgesamt eine abschliessende und rechtskonforme Beurteilung und erfülle die an den Beweiswert ärztlicher Gutachten gestellten Anforderungen. Es lägen keine konkreten Indizien vor, welche gegen seine Zuverlässigkeit sprächen. Demgemäss habe nach dem Unfallereignis vom 6. November 2000 aus somatischer Sicht maximal für die Dauer von drei Monaten, nach dem zweiten für allenfalls zwei bis drei Wochen, eine Arbeitsunfähigkeit vorgelegen. Das kantonale Gericht setzte sich im weiteren eingehend mit dem psychischen Gesundheitszustand des Beschwerdeführers auseinander. Demnach sei im April 2003 von Dr. med. S.________, Facharzt für Psychiatrie und Psychotherapie, zwar die Verdachtsdiagnose einer posttraumatischen Belastungsstörung in psychosozialer Belastungssituation gestellt worden. Diese hätte aber in späteren Abklärungen nicht bestätigt werden können und sie sei auch nicht schlüssig und nachvollziehbar begründet worden, weshalb nicht darauf abgestellt werden könne. Eine um ein Drittel eingeschränkte Arbeitsfähigkeit sei in der Folge von Dr. med. M.________ im Gutachten des Medizinischen Zentrums Y.________ vom 21. Januar 2005 aufgrund einer diagnostizierten Angst- und depressiven Störung (ICD-10: F41.2) und einer anhaltenden somatoformen Schmerzstörung (ICD-10: F45.4) attestiert worden. Das Gericht setzte sich in der Folge eingehend mit der in BGE 130 V 352 begründeten Rechtsprechung auseinander und hielt zusammenfassend fest, es liege keine Komorbidität von erheblicher Schwere vor, noch seien die weiteren Kriterien für eine ausnahmsweise invalidisierende Wirkung dieser Diagnosen erfüllt. Aus rechtlicher Sicht sprächen keine hinreichenden Gründe dafür, dass die psychischen Ressourcen es dem relativ jungen Beschwerdeführer nicht erlaubten, trotz seiner Schmerzen eine leichte bis mittelschwere Tätigkeit weiterhin in vollem Umfange auszuüben. Da aus weiteren medizinischen Abklärungen keine neuen Erkenntnisse zu erwarten seien, erübrige sich, solche einzuholen.</w:t>
      </w:r>
    </w:p>
    <w:p>
      <w:r>
        <w:rPr>
          <w:b/>
        </w:rPr>
        <w:t>E. 3.2</w:t>
      </w:r>
    </w:p>
    <w:p>
      <w:r>
        <w:t>Inwiefern die von der Vorinstanz in diesem Kontext entsprechend und sinngemäss getroffenen Feststellungen offensichtlich unrichtig oder die daraus gezogenen Schlussfolgerungen bundesrechtswidrig sein sollten, tut der Beschwerdeführer nicht dar und ist nach der Aktenlage auch nicht ersichtlich. Wider die Bezeichnung als rechtliche Rügen (offensichtliche unrichtige und rechtsverletzende Sachverhaltsfeststellungen und rechtsfehlerhaftes Ausüben des Ermessens) handelt es sich bei den Beschwerdevorbringen im Wesentlichen um die Behauptung, die tatsächliche Leistungsfähigkeit betrage entgegen den Feststellungen der Vorinstanz lediglich 50 %, womit in unzulässiger Weise appellatorische Kritik am Beweisergebnis der Vorinstanz geübt wird, was im Rahmen von Art. 105 Abs. 1 und Abs. 2 BGG nicht genügt (E. 1 hievor). Wie bereits das kantonale Gericht zutreffend und eingehend begründet dargetan hat, fehlen für einen invalidisierenden psychischen Gesundheitsschaden konkrete Hinweise, weshalb auch keine Veranlassung für weitere medizinische Abklärungen besteht. Schliesslich sind auch die Einwendungen zum Einkommensvergleich unbegründet, da ein solcher entfällt, weil er seine angestammte körperlich leichte Tätigkeit weiterhin ausüben könnte. Da die Beschwerde offensichtlich unbegründet ist, wird sie im Verfahren nach Art. 109 Abs. 2 lit. a BGG mit summarischer Begründung erledigt.</w:t>
      </w:r>
    </w:p>
    <w:p>
      <w:r>
        <w:rPr>
          <w:b/>
        </w:rPr>
        <w:t>E. 4</w:t>
      </w:r>
    </w:p>
    <w:p>
      <w:r>
        <w:t>Die Beschwerde in öffentlich-rechtlichen Angelegenheiten ist somit abzuweisen. Die Gerichtskosten werden dem unterliegenden Beschwerdeführer auferlegt ( Art. 66 Abs. 1 BGG ), da seinem Gesuch um unentgeltliche Rechtspflege wegen Aussichtslosigkeit der Rechtsvorkehr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