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8C_367/2019 vom 6. August 2019</w:t>
      </w:r>
    </w:p>
    <w:p>
      <w:r>
        <w:t>Bundesgericht, 2019-08-06, DE</w:t>
      </w:r>
    </w:p>
    <w:p>
      <w:r>
        <w:rPr>
          <w:b/>
        </w:rPr>
        <w:t xml:space="preserve">Quelle: </w:t>
      </w:r>
      <w:r>
        <w:t>https://mcp.opencaselaw.ch/entscheid/bger_8C_367_2019</w:t>
      </w:r>
    </w:p>
    <w:p>
      <w:r>
        <w:t>FR: TF 8C_367/2019 du 6 août 2019</w:t>
      </w:r>
    </w:p>
    <w:p>
      <w:r>
        <w:t>IT: TF 8C_367/2019 del 6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Kausal durch den vorinstanzlichen Entscheid verursacht oder rechtswesentlich und damit zulässig sind Sachumstände, die im kantonalen Entscheid neu und erstmals Rechtserheblichkeit gewinnen, indem sich die kantonale Instanz auf einen Rechtstitel beruft, der von den Parteien bis dahin nicht thematisiert wurde, und ihn ihrem Urteil als massgebliches Entscheidmotiv zugrunde legt (vgl. Urteile 8C_377/2018 vom 7. Februar 2019 E. 2.1 mit Hinweisen; 8C_184/2009 vom 25. August 2009 E. 4.3.1 mit Hinweis, in: ARV 2010 S. 141; 9C_920/2008 vom 16. April 2009 E. 2, nicht publ. in: BGE 135 V 163 aber in: SVR 2009 BVG Nr. 30 S. 109).</w:t>
      </w:r>
    </w:p>
    <w:p>
      <w:r>
        <w:rPr>
          <w:b/>
        </w:rPr>
        <w:t>E. 2.2</w:t>
      </w:r>
    </w:p>
    <w:p>
      <w:r>
        <w:t>Der Beschwerdeführer lässt neu zwei Arztberichte vom 23. Mai 2017 und 21. März 2018 einreichen. Da die Frage des Gesundheitszustandes bereits vor Vorinstanz ein zentrales Thema war, hat nicht erst der angefochtene Entscheid zum Vorbringen der neuen Beweismittel Anlass gegeben. Der Beschwerdeführer legt zudem in keiner Weise dar und es ist auch nicht ersichtlich, weshalb die Berichte nicht bereits im kantonalen Verfahren hätten beigebracht werden können. Diese (unechten) Noven haben somit unbeachtet zu bleiben.</w:t>
      </w:r>
    </w:p>
    <w:p>
      <w:r>
        <w:rPr>
          <w:b/>
        </w:rPr>
        <w:t>E. 3</w:t>
      </w:r>
    </w:p>
    <w:p>
      <w:r>
        <w:t>Streitig und zu prüfen ist, ob das kantonale Gericht Bundesrecht verletzte, indem es in Abänderung der Verfügung der IV-Stelle vom 25. September 2018 dem Versicherten ab 1. April 2011 bis 31. Dezember 2012 eine ganze und ab 1. Januar 2013 bis 31. Januar 2013 eine halbe Rente der Invalidenversicherung zusprach.</w:t>
      </w:r>
    </w:p>
    <w:p>
      <w:r>
        <w:t>Die für die Beurteilung der Streitsache massgeblichen Rechtsgrundlagen sind im angefochtenen Entscheid zutreffend dargelegt worden. Darauf wird verwiesen ( Art. 109 Abs. 3 BGG ).</w:t>
      </w:r>
    </w:p>
    <w:p>
      <w:r>
        <w:rPr>
          <w:b/>
        </w:rPr>
        <w:t>E. 4.1</w:t>
      </w:r>
    </w:p>
    <w:p>
      <w:r>
        <w:t>Das kantonale Gericht hat in Würdigung der medizinischen Aktenlage festgestellt, dass der Beschwerdeführer in der angestammten Tätigkeit als Boots- oder Küchenbauer zu 100% arbeitsunfähig sei, dass ihm aber für eine körperlich leichte, adaptierte Tätigkeit mangels anderslautender Berichte ab 1. November 2012 eine 100%ige Arbeits- und Leistungsfähigkeit attestiert werden könne. Es stützte sich dabei insbesondere auf das polydisziplinäre Gutachten der ABI vom 21. November 2016.</w:t>
      </w:r>
    </w:p>
    <w:p>
      <w:r>
        <w:rPr>
          <w:b/>
        </w:rPr>
        <w:t>E. 4.2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des Beschwerdeführers zeigen keine offensichtliche Unrichtigkeit der vorinstanzlichen Schlussfolgerungen auf:</w:t>
      </w:r>
    </w:p>
    <w:p>
      <w:r>
        <w:rPr>
          <w:b/>
        </w:rPr>
        <w:t>E. 4.3.1</w:t>
      </w:r>
    </w:p>
    <w:p>
      <w:r>
        <w:t>Das kantonale Gericht hat die medizinische Aktenlage pflichtgemäss gewürdigt. Wie es dargelegt hat, erfüllt das polydisziplinäre Gutachten der ABI vom 21. November 2016 die von der Rechtsprechung gestellten Anforderungen; es beruht auf eigenen Untersuchungen, eingehender Anamneseerhebung und setzt sich insbesondere auch mit den anderen medizinischen Berichten auseinander.</w:t>
      </w:r>
    </w:p>
    <w:p>
      <w:r>
        <w:rPr>
          <w:b/>
        </w:rPr>
        <w:t>E. 4.3.2</w:t>
      </w:r>
    </w:p>
    <w:p>
      <w:r>
        <w:t>Auf ein im Verfahren nach Art. 44 ATSG eingeholtes Gutachten ist rechtsprechungsgemäss abzustellen, wenn nicht konkrete Indizien gegen die Zuverlässigkeit der Expertise sprechen ( BGE 137 V 210 E. 1.3.4 S. 227; vgl. auch Urteil 8C_182/2019 vom 19. Juni 2019 E. 2.2). Solche vermag der Versicherte nicht darzutun, zumal er weitgehend die bereits vorinstanzlich erhobenen Einwendungen wiederholt, mit denen sich das kantonale Gericht einlässlich auseinandergesetzt hat. Soweit der Beschwerdeführer wie bereits vor Vorinstanz rügt, es wären weitere Abklärungen zur Auswirkung einer neurogenen Blasenentleerungsstörung auf die Arbeitsfähigkeit erforderlich (gewesen), ist darauf hinzuweisen, dass es grundsätzlich den begutachtenden Ärztinnen und Ärzten überlassen ist, über Art und Umfang der aufgrund der konkreten Fragestellung erforderlichen Untersuchungen zu befinden (vgl. Urteile 8C_603/2017 vom 20. März 2018 E. 3.3.2, 8C_639/2011 vom 5. Januar 2012 E. 4.3.4, 8C_362/2010 vom 11. März 2011 E. 4.2.1). Vorliegend hat die IV-Stelle eine umfassende Abklärung in den Bereichen Allgemeine/Innere Medizin, Psychiatrie, Orthopädie, Neurologie, Urologie und Ophtalmologie angeordnet. Die verschiedenen Gutachter haben den Versicherten untersucht und ihre schlüssige Beurteilung in Kenntnis der medizinischen Vorakten abgegeben. Wie das kantonale Gericht aufgezeigt hat, finden sich mit Bezug auf die Arbeitsfähigkeit keine zu berücksichtigenden abweichenden Arztberichte, weshalb die Rüge, die Gutachter hätten sich mit divergierenden medizinischen Berichten kritisch und ausführlich auseinandersetzen müssen, ins Leere geht. Soweit der Hausarzt Dr. med. C.________, Allgemeine Medizin FMH, am 6. Dezember 2013 eine vollständige Arbeitsunfähigkeit ab 12. März 2013 attestiert hatte, kann daraus mit dem kantonalen Gericht nichts anderes abgeleitet werden, zumal als Grund für die attestierte Arbeitsunfähigkeit lediglich Krankheit angegeben worden war. Die Vorinstanz hat denn auch zu Recht auf die Erfahrungstatsache hingewiesen, wonach behandelnde Ärzte im Hinblick auf ihre auftragsrechtliche Vertrauensstellung in Zweifelsfällen eher zugunsten ihrer Patienten aussagen ( BGE 135 V 465 E. 4.5 S. 470; 135 V 351 E. 3a/cc S. 353; Urteil 8C_821/2018 vom 18. Juni 2019 E. 5.2 mit weiteren Hinweisen).</w:t>
      </w:r>
    </w:p>
    <w:p>
      <w:r>
        <w:rPr>
          <w:b/>
        </w:rPr>
        <w:t>E. 4.3.3</w:t>
      </w:r>
    </w:p>
    <w:p>
      <w:r>
        <w:t>Die dargelegte Festsetzung der Arbeitsfähigkeit basiert auf medizinischen Grundlagen, nicht auf allgemeiner Lebenserfahrung, und beschlägt daher entgegen der Auffassung des Beschwerdeführers nicht eine Rechtsfrage, sondern eine vom Bundesgericht nur beschränkt überprüfbare Frage tatsächlicher Natur.</w:t>
      </w:r>
    </w:p>
    <w:p>
      <w:r>
        <w:rPr>
          <w:b/>
        </w:rPr>
        <w:t>E. 4.4</w:t>
      </w:r>
    </w:p>
    <w:p>
      <w:r>
        <w:t>Zusammenfassend beruhen die vorinstanzlichen Annahmen zum Gesundheitszustand und zur Arbeitsfähigkeit des Versicherten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141 I 60 E. 3.3 S. 64 ; 136 I 229 E. 5.3 S. 236 f. mit Hinweis).</w:t>
      </w:r>
    </w:p>
    <w:p>
      <w:r>
        <w:rPr>
          <w:b/>
        </w:rPr>
        <w:t>E. 5</w:t>
      </w:r>
    </w:p>
    <w:p>
      <w:r>
        <w:t>Das kantonale Gericht hat im Weiteren dargelegt, dass der Rentenbeginn auf den 1. April 2011 festzusetzen war. Es hat aufgezeigt, dass der Beschwerdeführer in jenem Zeitpunkt für sämtliche Tätigkeiten eine vollständige Arbeitsunfähigkeit aufwies, dass er jedoch in einer adaptierten Tätigkeit ab 17. September 2012 zu 50% und ab 1. November 2012 vollumfänglich arbeitsfähig war. Nach Festsetzung des Validen- und Invalideneinkommens stellte die Vorinstanz in Abweichung von der Verfügung der IV-Stelle vom 25. September 2018 fest, dass der Versicherte ab 1. April 2011 bis 31. Dezember 2012 Anspruch auf eine ganze und ab 1. Januar 2013 bis 31. Januar 2013 Anspruch auf eine halbe Rente der Invalidenversicherung habe.</w:t>
      </w:r>
    </w:p>
    <w:p>
      <w:r>
        <w:t>Mit diesen Erwägungen setzt sich der Beschwerdeführer nicht ansatzweise auseinander, weshalb auf die nicht zu beanstandende Begründung im angefochtenen Entscheid verwiesen wird, welcher das Bundesgericht nichts beizufügen hat. Beim angefochtenen Entscheid hat es mithin sein Bewenden.</w:t>
      </w:r>
    </w:p>
    <w:p>
      <w:r>
        <w:rPr>
          <w:b/>
        </w:rPr>
        <w:t>E. 6</w:t>
      </w:r>
    </w:p>
    <w:p>
      <w:r>
        <w:t>Die Beschwerde ist offensichtlich unbegründet. Sie wird daher im vereinfachten Verfahren nach Art. 109 Abs. 2 lit. a BGG ohne Durchführung eines Schriftenwechsels, mit summarischer Begründung und unter Verweis auf die Ausführungen des kantonalen Gerichts ( Art. 102 Abs. 1 und Art. 109 Abs. 3 BGG ) erledigt.</w:t>
      </w:r>
    </w:p>
    <w:p>
      <w:r>
        <w:rPr>
          <w:b/>
        </w:rPr>
        <w:t>E. 7</w:t>
      </w:r>
    </w:p>
    <w:p>
      <w:r>
        <w:t>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