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367/2016 vom 2. August 2016</w:t>
      </w:r>
    </w:p>
    <w:p>
      <w:r>
        <w:t>Bundesgericht, 2016-08-02, DE</w:t>
      </w:r>
    </w:p>
    <w:p>
      <w:r>
        <w:rPr>
          <w:b/>
        </w:rPr>
        <w:t xml:space="preserve">Quelle: </w:t>
      </w:r>
      <w:r>
        <w:t>https://mcp.opencaselaw.ch/entscheid/bger_8C_367_2016</w:t>
      </w:r>
    </w:p>
    <w:p>
      <w:r>
        <w:t>FR: TF 8C 367/2016 du 2 août 2016</w:t>
      </w:r>
    </w:p>
    <w:p>
      <w:r>
        <w:t>IT: TF 8C 367/2016 del 2 agosto 2016</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Es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und zu prüfen ist, ob die am 17. November 2014 durch die IV-Stelle verfügte Aufhebung des Anspruchs auf eine Invalidenrente ab 1. September 2013 und die Rückforderung der danach bis am 31. Oktober 2014 ausgerichteten Rentenleistungen vorinstanzlich zu Recht bestätigt wurden.</w:t>
      </w:r>
    </w:p>
    <w:p>
      <w:r>
        <w:rPr>
          <w:b/>
        </w:rPr>
        <w:t>E. 3</w:t>
      </w:r>
    </w:p>
    <w:p>
      <w:r>
        <w:t>Im angefochtenen Entscheid werden die gesetzlichen Bestimmungen und die von der Rechtsprechung entwickelten Grundsätze, namentlich diejenigen zum Begriff der Invalidität ( Art. 8 Abs. 1 ATSG in Verbindung mit Art. 4 Abs. 1 IVG ), zum Umfang des Rentenanspruchs ( Art. 28 Abs. 2 IVG ) und zum Beweiswert und zur Beweiswürdigung ärztlicher Berichte und Gutachten ( BGE 134 V 231 E. 5.1 S. 232; 125 V 351 E. 3a S. 352) richtig dargelegt. Gleiches gilt für die Ausführungen zur Rentenrevision ( Art. 17 Abs. 1 ATSG ; BGE 134 V 131 E. 3 S. 132), zum revisionsrechtlich massgebenden Vergleichszeitraum ( BGE 133 V 108 E. 5.4 S. 114), zu den gesetzlichen Bestimmungen betreffend rückwirkende Aufhebung eines Rentenanspruchs (Art. 77 i.V.m. Art. 88bis Abs. 2 lit. b IVV ) sowie zu der darauf beruhenden Pflicht zur Rückerstattung von zu Unrecht bezogenen Leistungen ( Art. 25 Abs. 1 und 2 ATSG ). Darauf wird verwiesen. Anzufügen bleibt, dass regelmässig keine versicherte Gesundheitsschädigung vorliegt, soweit die Leistungseinschränkung auf Aggravation oder einer ähnlichen Erscheinung beruht. Hinweise auf solche und andere Äusserungen eines sekundären Krankheitsgewinns (dazu BGE 140 V 193 E. 3.3 S. 197)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 BGE 141 V 281 E. 2.2.1 S. 287 mit Hinweisen). Besteht im Einzelfall Klarheit darüber, dass solche Ausschlussgründe die Annahme einer Gesundheitsbeeinträchtigung verbieten, so besteht von vornherein keine Grundlage für eine Invalidenrente (BGE a.a.O. E. 2.2.2 S. 288).</w:t>
      </w:r>
    </w:p>
    <w:p>
      <w:r>
        <w:rPr>
          <w:b/>
        </w:rPr>
        <w:t>E. 4.1</w:t>
      </w:r>
    </w:p>
    <w:p>
      <w:r>
        <w:t>Das kantonale Gericht hat eine einlässliche Würdigung der fachärztlichen Unterlagen, insbesondere der bidisziplinären Begutachtung durch die Dres. med. B.________ und C.________ vom 15./16. Juni 2012 und der zusätzlichen Stellungnahmen dieser Ärzte vom 10. Juni 2014, vorgenommen. Dabei gelangte es zur Erkenntnis, diese erfüllten die von der Rechtsprechung an den Beweiswert ärztlicher Berichte gestellten Anforderungen. Es sei darauf abzustellen. In tatsächlicher Hinsicht hielt die Vorinstanz unter anderem weiter fest, das im Observierungsmaterial dokumentierte Verhalten des Beschwerdeführers entspreche in keiner Weise dem anlässlich der Untersuchungen präsentierten Bild. Es sei daher nachvollziehbar und nicht zu beanstanden, wenn die Experten gestützt auf die Ergebnisse der BvO von einer erheblichen Verdeutlichungstendenz beziehungsweise einer bewusstseinsnahen Aggravationstendenz ausgingen und gestützt darauf das Zumutbarkeitsprofil neu formuliert hätten. Demnach liege beim Beschwerdeführer keine chronische Schmerzstörung mit psychischen Anteilen mehr vor. Es könne lediglich noch von einer knapp leichtgradigen depressiven Episode ausgegangen werden. Eine körperlich leichte wechselbelastende Tätigkeit, überwiegend im Sitzen, ganztags, sei demnach mit einer Leistungsverminderung von 20 % zumutbar. Weitere Sachverhaltsabklärungen seien nicht nötig; es liege eine wesentliche Veränderung der Verhältnisse im Sinne eines Revisionsgrundes vor. Die verfügte Rentenaufhebung per 31. August 2013 sei nicht zu beanstanden und die Rückforderung im verfügten Betrag rechtmässig.</w:t>
      </w:r>
    </w:p>
    <w:p>
      <w:r>
        <w:rPr>
          <w:b/>
        </w:rPr>
        <w:t>E. 4.2.1</w:t>
      </w:r>
    </w:p>
    <w:p>
      <w:r>
        <w:t>Die Tatsachenfeststellungen des Gerichts, namentlich die aus den medizinischen Akten gewonnene Erkenntnis, wonach eine durch Observation vermutete und danach medizinisch verifizierte bewusstseinsnahe Aggravation vorliegt, ist im letztinstanzlichen Prozess grundsätzlich verbindlich (vgl. E. 1 hievor). Dasselbe gilt bezüglich der lediglich um 20 % eingeschränkten Leistungsfähigkeit in einer adaptierten Tätigkeit.</w:t>
      </w:r>
    </w:p>
    <w:p>
      <w:r>
        <w:rPr>
          <w:b/>
        </w:rPr>
        <w:t>E. 4.2.2</w:t>
      </w:r>
    </w:p>
    <w:p>
      <w:r>
        <w:t>Das kantonale Gericht hat sich mit den vom Beschwerdeführer -mehrheitlich wortwörtlich wiederholten - Einwänden bereits auseinandergesetzt. Darauf ist nicht näher einzugehen. Soweit dieser die Tatsachenfeststellungen der Vorinstanz als willkürlich rügt und der gutachterlichen Würdigung des Ergebnisses der BvO und der diesbezüglichen Feststellungen im angefochtenen Entscheid eine eigene Interpretation entgegenstellt, ist dies für die Beurteilung der sich vorliegend stellenden Rechtsfrage irrelevant. Es ist nicht ersichtlich, weshalb auf das Gutachten nicht abgestellt werden kann. Die darin getroffenen, vom Beschwerdeführer als willkürlich gerügten Ausführungen bezüglich der festgestellten Aggravation treffen offensichtlich zu. Es liegt nicht nur eine Selbstlimitierung, sondern eine verifizierte Täuschung vor, hat er doch bewiesen, dass er entgegen seiner ausdrücklichen Darstellung selbstständig längere Autofahrten machen, Einkäufe und Haushaltsarbeiten wie Staubsaugen erledigen und weiteres mehr unternehmen kann. Das Hinken ist nur vorhanden, wenn er sich an seinem geschützten Arbeitsplatz aufhält. Dasselbe gilt für das mühsame Treppensteigen. Die gutachterlichen Feststellungen und Folgerungen sind daher nicht aktenwidrig, sondern durch die Observation bestätigt.</w:t>
      </w:r>
    </w:p>
    <w:p>
      <w:r>
        <w:rPr>
          <w:b/>
        </w:rPr>
        <w:t>E. 4.3</w:t>
      </w:r>
    </w:p>
    <w:p>
      <w:r>
        <w:t>Mit seinen Einwänden macht der Beschwerdeführer letztinstanzlich nicht rechtsgenüglich geltend, inwiefern die vorinstanzlichen Sachverhaltsfeststellungen offensichtlich unrichtig sind oder auf einer Rechtsverletzung im Sinne von Art. 95 BGG beruhen. Die Rügen erschöpfen sich vielmehr in unzulässiger appellatorischer Kritik am Gutachten der Dres. med. B.________ und C.________ vom 10. Juni 2014. Diese kann zum vornherein nicht beachtet werden (Art. 97 Abs. 1, Art. 105 Abs. 1 und 2 BGG ). Schliesslich legt der Beschwerdeführer auch nicht dar, inwiefern das kantonale Gericht mit der sorgfältig begründeten Bestätigung der Rückforderungsverfügung vom 3. Dezember 2014 Recht verletzt haben soll. Auf die entsprechende Rüge und den Aufhebungsantrag ist daher nicht weiter einzugehen.</w:t>
      </w:r>
    </w:p>
    <w:p>
      <w:r>
        <w:rPr>
          <w:b/>
        </w:rPr>
        <w:t>E. 5.1</w:t>
      </w:r>
    </w:p>
    <w:p>
      <w:r>
        <w:t>Die Beschwerde ist offensichtlich unbegründet, weshalb sie im vereinfachten Verfahren nach Art. 109 BGG mit summarischer Begründung erledigt wird.</w:t>
      </w:r>
    </w:p>
    <w:p>
      <w:r>
        <w:rPr>
          <w:b/>
        </w:rPr>
        <w:t>E. 5.2</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