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8C_366/2023 vom 16. Juni 2023</w:t>
      </w:r>
    </w:p>
    <w:p>
      <w:r>
        <w:t>Bundesgericht, 2023-06-16, IT</w:t>
      </w:r>
    </w:p>
    <w:p>
      <w:r>
        <w:rPr>
          <w:b/>
        </w:rPr>
        <w:t xml:space="preserve">Quelle: </w:t>
      </w:r>
      <w:r>
        <w:t>https://mcp.opencaselaw.ch/entscheid/bger_8C_366_2023</w:t>
      </w:r>
    </w:p>
    <w:p>
      <w:r>
        <w:t>FR: TF 8C_366/2023 du 16 juin 2023</w:t>
      </w:r>
    </w:p>
    <w:p>
      <w:r>
        <w:t>IT: TF 8C_366/2023 del 16 giugno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(cfr. DTF 144 II 84 consid. 1).</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Nei considerandi della sentenza impugnata, la Corte cantonale ha ricordato di aver definitivamente confermato la richiesta di restituzione dell'importo di fr. 2'944.05 con sentenza del 27 settembre 2021, menzionando che anche la decisione di restituzione di fr. 235.60 del 10 febbraio 2022 della Cassa cantonale di assicurazione contro la disoccupazione del Cantone Ticino (di seguito: Cassa) era cresciuta incontestata in giudicato. I giudici ticinesi hanno quindi rilevato che la ricorrente era stata inequivocabilmente resa attenta più volte - segnatamente nei moduli di richiesta delle ILR e nella comunicazione ricevuta dalla Cassa nel mese di maggio 2020, che rinviava inoltre al sito internet www.lavoro.swiss contenente spiegazioni e informazioni sul tema - che l'ammontare delle ILR ammontava all'80 % della perdita di guadagno computabile. La Corte ticinese ha dunque ritenuto che tale mancanza di attenzione costituisse una grave negligenza, atta ad escludere la buona fede nella percezione, a torto, di parte delle ILR. L'argomento secondo cui un collaboratore della Cassa le avrebbe invece indicato che l'ammontare delle indennità raggiungesse il 100 % era già stato respinto nella precitata sentenza del 27 settembre 2021, rimasta per l'appunto incontestata.</w:t>
      </w:r>
    </w:p>
    <w:p>
      <w:r>
        <w:rPr>
          <w:b/>
        </w:rPr>
        <w:t>E. 2.2</w:t>
      </w:r>
    </w:p>
    <w:p>
      <w:r>
        <w:t>La ricorrente, appellandosi alla propria buona fede e alle indicazioni che avrebbe ricevuto dal collaboratore della Cassa, argomenta di essere stata all'oscuro del fatto che l'ammontare delle ILR corrispondesse all'80 % della perdita di guadagno computabile, essendo certa che si trattasse del 100 %. Così facendo, la ricorrente ripete in maniera appellatoria quanto già sollevato dinanzi all'autorità inferiore, senza tuttavia spiegare in che modo il giudizio impugnato sia contrario al diritto.</w:t>
      </w:r>
    </w:p>
    <w:p>
      <w:r>
        <w:rPr>
          <w:b/>
        </w:rPr>
        <w:t>E. 2.3</w:t>
      </w:r>
    </w:p>
    <w:p>
      <w:r>
        <w:t>Il ricorso non soddisfa manifestamente le esigenze formali minime suesposte e pertanto, statuendo secondo la procedura semplificata dell' art. 108 cpv. 1 lett. b LTF , esso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