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8C_365/2024 vom 28. Juni 2024</w:t>
      </w:r>
    </w:p>
    <w:p>
      <w:r>
        <w:t>Bundesgericht, 2024-06-28, DE</w:t>
      </w:r>
    </w:p>
    <w:p>
      <w:r>
        <w:rPr>
          <w:b/>
        </w:rPr>
        <w:t xml:space="preserve">Quelle: </w:t>
      </w:r>
      <w:r>
        <w:t>https://mcp.opencaselaw.ch/entscheid/bger_8C_365_2024</w:t>
      </w:r>
    </w:p>
    <w:p>
      <w:r>
        <w:t>FR: TF 8C_365/2024 du 28 juin 2024</w:t>
      </w:r>
    </w:p>
    <w:p>
      <w:r>
        <w:t>IT: TF 8C_365/2024 del 28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angefochtenen Urteil vom 22. Mai 2024 den Entscheid des Regierungsrats des Kantons Basel-Landschaft vom 6. Februar 2024, auf die gegen den Einspracheentscheid der Beschwerdegegnerin vom 16. November 2023 erhobene Beschwerde sei nicht einzutreten. Dabei legte es dar, weshalb die nicht innert gesetzlicher Nachfrist eingereichte Vollmacht das Nichteintreten rechtfertige.</w:t>
      </w:r>
    </w:p>
    <w:p>
      <w:r>
        <w:rPr>
          <w:b/>
        </w:rPr>
        <w:t>E. 3</w:t>
      </w:r>
    </w:p>
    <w:p>
      <w:r>
        <w:t>Der Beschwerdeführer empfindet es als ungerecht, dass ihm der Regierungsrat keine Nachfrist von acht bis zehn Tagen ab Kenntnisnahme, sondern eine solche mit einem fixen Ablaufdatum (8. Dezember 2023) eingeräumt hatte mit der Konsequenz, dass ihm lediglich noch drei Tage verblieben, um die (bereits vorhandene,) Vollmacht nachzureichen. Inwiefern das vom kantonale Gericht geschützte Vorgehen gegen Bundesrecht verstossen oder einen anderen Beschwerdegrund (vgl. Art. 95 lit. a-e BGG ) gesetzt haben soll, führt er aber nicht aus. Allein das Fehlen einer klaren gesetzlichen Grundlage zu behaupten, nachdem das kantonale Gericht diese genannt hat, reicht nicht aus. Genauso wenig zielführend ist es, darüber zu spekulieren, wie zu entscheiden wäre, falls er von der Verpflichtung, die Vollmacht nachzureichen, erst später Kenntnis genommen hätte.</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