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8C_365/2007 vom 15. Mai 2008</w:t>
      </w:r>
    </w:p>
    <w:p>
      <w:r>
        <w:t>Bundesgericht, 2008-05-15, FR</w:t>
      </w:r>
    </w:p>
    <w:p>
      <w:r>
        <w:rPr>
          <w:b/>
        </w:rPr>
        <w:t xml:space="preserve">Quelle: </w:t>
      </w:r>
      <w:r>
        <w:t>https://mcp.opencaselaw.ch/entscheid/bger_8C_365_2007</w:t>
      </w:r>
    </w:p>
    <w:p>
      <w:r>
        <w:t>FR: TF 8C_365/2007 du 15 mai 2008</w:t>
      </w:r>
    </w:p>
    <w:p>
      <w:r>
        <w:t>IT: TF 8C_365/2007 del 15 maggio 2008</w:t>
      </w:r>
    </w:p>
    <w:p>
      <w:pPr>
        <w:pStyle w:val="Heading2"/>
      </w:pPr>
      <w:r>
        <w:t>Erwägungen</w:t>
      </w:r>
    </w:p>
    <w:p>
      <w:r>
        <w:rPr>
          <w:b/>
        </w:rPr>
        <w:t>E. 1</w:t>
      </w:r>
    </w:p>
    <w:p>
      <w:r>
        <w:t>Le litige porte sur le droit du recourant à une rente et à une indemnité pour atteinte à l'intégrité. Il s'agit d'une procédure relative à l'octroi ou au refus de prestations en espèce de l'assurance-accidents, de sorte que le recours peut porter sur la constatation incomplète ou inexacte des faits, le Tribunal fédéral n'étant pas lié par les faits établis par l'autorité précédente (art. 97 al. 2 et 105 al. 3 LTF).</w:t>
      </w:r>
    </w:p>
    <w:p>
      <w:r>
        <w:rPr>
          <w:b/>
        </w:rPr>
        <w:t>E. 2</w:t>
      </w:r>
    </w:p>
    <w:p>
      <w:r>
        <w:t>Le recourant conteste, d'abord, le taux d'invalidité de 25 % retenu par les premiers juges. Il soutient que ce taux devrait être fixé à 53,6 %, compte tenu en particulier du revenu qu'il a pu réaliser jusqu'en 2004 en travaillant à 50 % pour X.________ SA, dans des travaux adaptés à son état de santé.</w:t>
      </w:r>
    </w:p>
    <w:p>
      <w:r>
        <w:rPr>
          <w:b/>
        </w:rPr>
        <w:t>E. 3</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w:t>
      </w:r>
    </w:p>
    <w:p>
      <w:r>
        <w:rPr>
          <w:b/>
        </w:rPr>
        <w:t>E. 4</w:t>
      </w:r>
    </w:p>
    <w:p>
      <w:r>
        <w:t>La juridiction cantonale et l'intimée ont considéré, en se fondant sur les renseignements obtenus auprès de X.________ SA, que le recourant aurait pu réaliser, sans atteinte à la santé, un revenu de 6175 fr. par mois en 2004. A juste titre, le recourant ne conteste pas cet aspect du jugement entrepris, sur lequel il n'y a pas lieu de revenir.</w:t>
      </w:r>
    </w:p>
    <w:p>
      <w:r>
        <w:rPr>
          <w:b/>
        </w:rPr>
        <w:t>E. 5.1</w:t>
      </w:r>
    </w:p>
    <w:p>
      <w:r>
        <w:t>Il convient d'évaluer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 ATF 129 V 472 consid. 4.2.1 p. 475, 126 V 75 consid. 3b/aa p. 76).</w:t>
      </w:r>
    </w:p>
    <w:p>
      <w:r>
        <w:rPr>
          <w:b/>
        </w:rPr>
        <w:t>E. 5.2</w:t>
      </w:r>
    </w:p>
    <w:p>
      <w:r>
        <w:t>Lorsque l'activité exercée après la survenance de l'atteinte à la santé ne met pas pleinement en valeur la capacité de travail résiduelle de l'assuré, ce dernier peut être tenu de quitter son poste de travail, voire l'entreprise pour laquelle il travaille au profit d'une activité mieux adaptée (cf. RCC 1983 p. 246), ou encore d'accepter un emploi le contraignant à changer de domicile, en vertu de son obligation de réduire le dommage résultant de l'invalidité. Encore faut-il que cela soit raisonnablement exigible au vu de l'ensemble des circonstances, considérées de manière objective ( ATF 113 V 22 consid. 4 p. 28, 109 V 25 consid. 3c p. 27). L'effort à consentir par l'assuré est d'autant plus important que la diminution du dommage escomptée est substantielle, conformément au principe de proportionnalité, applicable de manière générale en droit des assurances sociales ( ATF 122 V 377 consid. 2b/cc p. 380, 119 V 250 consid. 3a p. 253; voir également ATF 113 V 22 consid. 4d p. 31, ainsi que Peter Omlin, Die Invalidität in der obligatorischen Unfallversicherung, Fribourg 1995, p. 185 sv., p. 203 sv.).</w:t>
      </w:r>
    </w:p>
    <w:p>
      <w:r>
        <w:rPr>
          <w:b/>
        </w:rPr>
        <w:t>E. 5.3</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(ci-après : OFS). Il est également possible de recourir à une enquête menée par la CNA auprès de diverses entreprises suisse et qui permet de réunir des données salariales pour de nombreux postes de travail faisant l'objet d'une description détaillée (cf. ATF 129 V 472 consid. 4.2 p. 475).</w:t>
      </w:r>
    </w:p>
    <w:p>
      <w:r>
        <w:rPr>
          <w:b/>
        </w:rPr>
        <w:t>E. 6.1</w:t>
      </w:r>
    </w:p>
    <w:p>
      <w:r>
        <w:t>L'intimée s'est fondée sur les résultats de sa propre enquête auprès de diverses entreprises suisses pour fixer à 4'795 fr. le revenu mensuel qu'aurait pu réaliser l'assuré, en 2004, malgré les séquelles accidentelles dont il souffre. Ce montant correspond à la moyenne des salaires les plus bas pour les cinq postes de travail faisant l'objet des DPT no 586, 822, 7314, 6959 et 6610. La juridiction cantonale a renoncé à s'y référer, au motif que les postes de travail décrits dans les documents produits par l'intimée ne correspondaient peut-être pas à des activités adaptées. En effet, depuis l'appréciation portée par le docteur R.________ sur le caractère adapté des postes de travail décrits, les douleurs dorsales de l'assuré s'étaient aggravées. En outre, l'assuré allègue que toutes ces activités requièrent l'usage des deux mains.</w:t>
      </w:r>
    </w:p>
    <w:p>
      <w:r>
        <w:rPr>
          <w:b/>
        </w:rPr>
        <w:t>E. 6.2</w:t>
      </w:r>
    </w:p>
    <w:p>
      <w:r>
        <w:t>D'après le docteur A.________, auquel se réfère le recourant, ce dernier n'est plus en mesure d'exercer aucune activité lucrative, en raison de plusieurs atteintes à la santé, dont certaines seulement sont d'origine accidentelle. Les autres atteintes (en particulier : lombosciatalgies et épicondylite bilatérale) sont d'origine maladive et ne sont apparues, ou ne se sont aggravées au point de devenir invalidantes, qu'après les accidents assurés, sans que les différents médecins consultés attribuent d'une manière ou d'une autre une cause accidentelle à cette aggravation. Cela étant, l'assurance-accidents ne répond que de l'invalidité résultant des accidents assurés, abstraction faite des atteintes à la santé d'origine maladive et qui sont survenues postérieurement. Les premiers juges ont donc écarté à tort les descriptions de postes de travail produites par l'intimée au motif qu'elles ne correspondaient peut-être plus à une activité adaptée pour l'assuré, depuis l'aggravation de ses douleurs dorsales.</w:t>
      </w:r>
    </w:p>
    <w:p>
      <w:r>
        <w:t>Par ailleurs, le docteur R.________ - dont les constatations sont corroborées par celles du docteur H.________ - a exposé de manière convaincante que le recourant peut travailler dans une activité requérant l'usage des deux mains, pour autant que la main droite ne soit pas sollicitée de manière intensive. Cette sollicitation n'est exigée dans aucun des postes de travail auxquels s'est référée l'intimée dans la décision sur opposition litigieuse. L'intimée a d'ailleurs précisément écarté deux autres descriptions de postes de travail pour lesquelles le docteur R.________ avait émis des réserves, dès lors qu'elles impliquaient un usage accru de la main droite.</w:t>
      </w:r>
    </w:p>
    <w:p>
      <w:r>
        <w:t>Dans la mesure où la juridiction cantonale a considéré - en se fondant pour sa part sur les données salariales publiées par l'OFS - que l'assuré aurait pu réaliser, malgré les séquelles accidentelles dont il souffre, un revenu au moins égal à celui fixé par l'intimée pour l'année 2004, le jugement entrepris n'est pas critiquable. Dans ce contexte, on relèvera que l'argumentation du recourant, d'après laquelle il subirait une incapacité de travail de 50 % dans toute activité en raison des atteintes à sa main droite se trouve contredite par l'ensemble des avis médicaux figurant au dossier.</w:t>
      </w:r>
    </w:p>
    <w:p>
      <w:r>
        <w:rPr>
          <w:b/>
        </w:rPr>
        <w:t>E. 6.3</w:t>
      </w:r>
    </w:p>
    <w:p>
      <w:r>
        <w:t>Il ressort de ce qui précède que l'activité exercée par le recourant, à 50 %, pour X.________ SA ne permet pas de mettre pleinement en valeur sa capacité résiduelle de travail et de gain, compte tenu des seules atteintes à la santé accidentelles dont il souffre. Eu égard au revenu notablement plus élevé que le recourant pourrait réaliser dans une activité mieux adaptée, le reclassement professionnel demandé par l'intimée est raisonnablement exigible. L'intimée et les premiers juges étaient donc fondés à retenir, à titre de revenu d'invalide pour l'évaluation de l'invalidité, un montant mensuel de 4'795 fr. au moins pour l'année 2004. Compte tenu d'un revenu sans invalidité de 6'175 fr. par mois pour la même année (cf. consid. 4 supra), la capacité résiduelle de gain du recourant ne lui ouvre pas droit à une rente fondée sur un taux d'invalidité supérieur à 25 %, contrairement à ce qu'il soutient. Ses conclusions sur ce point sont donc mal fondées, sans qu'il y ait lieu de se prononcer, dans la présente procédure, sur le degré d'invalidité présenté par le recourant compte tenu d'atteintes à la santé d'origine maladive et survenues postérieurement aux accidents assurés.</w:t>
      </w:r>
    </w:p>
    <w:p>
      <w:r>
        <w:rPr>
          <w:b/>
        </w:rPr>
        <w:t>E. 7.1</w:t>
      </w:r>
    </w:p>
    <w:p>
      <w:r>
        <w:t>Le recourant conteste également le taux de 5 % sur lequel est fondée l'indemnité pour atteinte à l'intégrité allouée par l'intimée. Il soutient qu'il présente un taux d'atteinte de 10 % au moins, au motif que ses quatrième et cinquième doigts de la main droite sont complètement bloqués et diminuent de moitié sa force de préhension.</w:t>
      </w:r>
    </w:p>
    <w:p>
      <w:r>
        <w:rPr>
          <w:b/>
        </w:rPr>
        <w:t>E. 7.2</w:t>
      </w:r>
    </w:p>
    <w:p>
      <w:r>
        <w:t>L'annexe 3 à l'OLAA comporte un barème des atteintes à l'intégrité en pour cent du montant maximum du gain assuré. Ce barème - reconnu conforme à la loi - ne constitue pas une énumération exhaustive ( ATF 124 V 32 consid. 1b p. 34).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w:t>
      </w:r>
    </w:p>
    <w:p>
      <w:r>
        <w:t>La division médicale de la CNA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116 V 156 consid. 3a p. 157).</w:t>
      </w:r>
    </w:p>
    <w:p>
      <w:r>
        <w:rPr>
          <w:b/>
        </w:rPr>
        <w:t>E. 7.3</w:t>
      </w:r>
    </w:p>
    <w:p>
      <w:r>
        <w:t>Les allégations du recourant relatives au blocage complet des quatrième et cinquième doigts de sa main droite ne correspondent qu'en partie aux constatations médicales figurant au dossier. Certes, les docteurs R.________ et H.________, en particulier, ont considéré que la force de préhension de la main droite de l'assuré était diminuée de moitié. Le docteur R.________ a toutefois précisé que l'arthrodèse subie au quatrième doigt ne concernait que l'articulation interphalangienne distale et qu'il subsistait une certaine mobilité du cinquième doigt, bien que minime. Le docteur H.________ a pour sa part décrit, notamment, une bonne mobilité de l'articulation métacarpo-phalangienne et de l'articulation interphalangienne proximale du quatrième doigt, ainsi que de la métacarpo-phalangienne du cinquième doigt (avec toutefois un flexum de 60° de l'interphalangienne proximale et de 20° de l'interphalangienne distale). Compte tenu de ces constatations, la décision de l'intimée d'appliquer par analogie le chiffre 40 de la table trois édictée par sa division médicale - qui prévoit un taux d'atteinte à l'intégrité de 5 % en cas de perte d'une phalange de chacun des quatrième et cinquième doigts -, plutôt que le chiffre 41 de la même table (10 % d'atteinte à l'intégrité en cas de perte de deux phalanges de chacun des quatrième et cinquième doigts), ne prête pas le flanc à la critique. Sur ce point également, le recours est mal fondé.</w:t>
      </w:r>
    </w:p>
    <w:p>
      <w:r>
        <w:rPr>
          <w:b/>
        </w:rPr>
        <w:t>E. 8</w:t>
      </w:r>
    </w:p>
    <w:p>
      <w:r>
        <w:t>Vu ce qui précède, le recourant supportera les frais de justice ( art. 66 al. 1 LTF ) et ne peut prétendre une indemnité de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