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8C_364/2019 vom 9. Juli 2020</w:t>
      </w:r>
    </w:p>
    <w:p>
      <w:r>
        <w:t>Bundesgericht, 2020-07-09, FR</w:t>
      </w:r>
    </w:p>
    <w:p>
      <w:r>
        <w:rPr>
          <w:b/>
        </w:rPr>
        <w:t xml:space="preserve">Quelle: </w:t>
      </w:r>
      <w:r>
        <w:t>https://mcp.opencaselaw.ch/entscheid/bger_8C_364_2019</w:t>
      </w:r>
    </w:p>
    <w:p>
      <w:r>
        <w:t>FR: TF 8C_364/2019 du 9 juillet 2020</w:t>
      </w:r>
    </w:p>
    <w:p>
      <w:r>
        <w:t>IT: TF 8C_364/2019 del 9 luglio 2020</w:t>
      </w:r>
    </w:p>
    <w:p>
      <w:pPr>
        <w:pStyle w:val="Heading2"/>
      </w:pPr>
      <w:r>
        <w:t>Erwägungen</w:t>
      </w:r>
    </w:p>
    <w:p>
      <w:r>
        <w:rPr>
          <w:b/>
        </w:rPr>
        <w:t>E. 1.1</w:t>
      </w:r>
    </w:p>
    <w:p>
      <w:r>
        <w:t>Par le jugement attaqué, la juridiction cantonale a annulé la décision sur opposition du 28 mai 2018, au motif que la condition de la bonne foi était remplie, et a renvoyé la cause à l'administration pour examen de la condition de la situation difficile. Aussi ce jugement doit-il être qualifié de décision incidente, laquelle ne peut être déférée immédiatement au Tribunal fédéral qu'aux conditions prévues par l' art. 93 al. 1 LTF , soit notamment si elle est susceptible de causer un préjudice irréparable.</w:t>
      </w:r>
    </w:p>
    <w:p>
      <w:r>
        <w:rPr>
          <w:b/>
        </w:rPr>
        <w:t>E. 1.2</w:t>
      </w:r>
    </w:p>
    <w:p>
      <w:r>
        <w:t>Lorsqu'une autorité administrative est contrainte par un jugement incident à rendre une décision qu'elle estime contraire au droit et qu'elle ne pourra elle-même pas attaquer, elle risque de subir un préjudice irréparable au sens de l' art. 93 al. 1 let . c LTF et peut recourir directement au Tribunal fédéral contre un tel jugement ( ATF 133 V 477 consid. 5.2 p. 483). Cette éventualité est en l'espèce réalisée car le jugement cantonal a un effet contraignant pour la caisse en ce sens que celle-ci devra statuer sur la remise éventuelle de l'obligation de restituer en étant liée quant à l'une des conditions de la remise, à savoir celle de la bonne foi.</w:t>
      </w:r>
    </w:p>
    <w:p>
      <w:r>
        <w:rPr>
          <w:b/>
        </w:rPr>
        <w:t>E. 1.3</w:t>
      </w:r>
    </w:p>
    <w:p>
      <w:r>
        <w:t>Pour le reste,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les conditions de la remise de l'obligation de restituer les allocations familiales indûment touchées, singulièrement sur le point de savoir si l'intimé remplit la condition de la bonne foi.</w:t>
      </w:r>
    </w:p>
    <w:p>
      <w:r>
        <w:rPr>
          <w:b/>
        </w:rPr>
        <w:t>E. 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143 IV 500 consid. 1.1 p. 503) - ou en violation du droit au sens de l' art. 95 LTF ( art. 105 al. 2 LTF ), et pour autant que la correction du vice soit susceptible d'influer sur le sort de la cause ( art. 97 al. 1 LTF ).</w:t>
      </w:r>
    </w:p>
    <w:p>
      <w:r>
        <w:rPr>
          <w:b/>
        </w:rPr>
        <w:t>E. 4.1</w:t>
      </w:r>
    </w:p>
    <w:p>
      <w:r>
        <w:t>Selon l' art. 25 al. 1 LPGA (RS 830.1), les prestations indûment touchées doivent être restituées. La restitution ne peut pas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9C_638/2014 du 13 août 2015 consid. 4.1).</w:t>
      </w:r>
    </w:p>
    <w:p>
      <w:r>
        <w:rPr>
          <w:b/>
        </w:rPr>
        <w:t>E. 4.2</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(cf. ATF 110 V 176 consid. 3d p. 181). On peut attendre d'un assuré qu'il décèle des erreurs manifestes et qu'il en fasse l'annonce à la caisse (arrêt 9C_189/2012 du 21 août 2012 consid. 4 et les références). En revanche, le bénéficiaire peut invoquer sa bonne foi lorsque l'acte ou l'omission fautive ne constitue qu'une violation légère de l'obligation d'annoncer ou de renseigner ( ATF 138 V 218 consid. 4 p. 220 s.; 112 V 97 consid. 2c p. 103; 110 V 176 consid. 3c p. 180). L'examen de l'attention exigible d'un ayant droit qui invoque sa bonne foi relève du droit et le Tribunal fédéral revoit librement ce point ( ATF 122 V 221 consid. 3 p. 223; 102 V 245 consid. b p. 246).</w:t>
      </w:r>
    </w:p>
    <w:p>
      <w:r>
        <w:rPr>
          <w:b/>
        </w:rPr>
        <w:t>E. 4.3</w:t>
      </w:r>
    </w:p>
    <w:p>
      <w:r>
        <w:t>En vertu de l' art. 31 al. 1 LPGA ,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 ATF 140 IV 11 consid. 2.4.5 p. 17 et les références).</w:t>
      </w:r>
    </w:p>
    <w:p>
      <w:r>
        <w:rPr>
          <w:b/>
        </w:rPr>
        <w:t>E. 5.1</w:t>
      </w:r>
    </w:p>
    <w:p>
      <w:r>
        <w:t>La cour cantonale a considéré que l'on pouvait aisément déduire de la convention de divorce du 26 mai 2015, d'une part, que le montant de la contribution d'entretien en faveur de B.________ avait été fixé en fonction de l'attribution des allocations familiales et, d'autre part, que ni la juge, ni les mandataires n'avaient prêté attention au fait que le changement de domicile de B.________ impliquait la fin du droit aux allocations familiales en sa faveur. Ainsi, on ne pouvait pas reprocher trop sévèrement à l'intimé d'avoir omis d'annoncer à la caisse les changements relatifs à sa situation familiale. En effet, bien que la caisse soit l'autorité compétente pour décider du droit aux allocations familiales, il n'en demeurait pas moins que l'intimé pouvait, de bonne foi, croire que celles-ci continueraient à lui être versées, dès lors que cette question avait été fixée par une convention de divorce homologuée par une juge. Partant, l'omission fautive ne constituait qu'une violation légère du devoir d'annoncer, et la bonne foi de l'intimé devait être admise.</w:t>
      </w:r>
    </w:p>
    <w:p>
      <w:r>
        <w:rPr>
          <w:b/>
        </w:rPr>
        <w:t>E. 5.2</w:t>
      </w:r>
    </w:p>
    <w:p>
      <w:r>
        <w:t>Invoquant une violation des art. 25 al. 1 LPGA et 4 OPGA (RS 830.11), la recourante reproche à la cour cantonale d'avoir confondu l'ignorance par l'intimé de l'illicéité du versement indu - ce qui n'est pas suffisant pour admettre la bonne foi - et le respect de l'obligation de communiquer toute modification à la caisse. Or elle considère qu'à cet égard, l'intimé a fait preuve de négligence grave. En effet, l'obligation de signaler tout changement d'état civil ou de résidence des enfants figurait dans la demande de prestations signée par l'intimé le 23 septembre 2014. L'obligation de communiquer toute modification de la situation de l'intimé ou de l'autre parent était en outre rappelée dans une décision de la caisse du 11 novembre 2014. Cette décision ne reconnaissait par ailleurs le droit aux allocations familiales en faveur de B.________ qu'à partir de la date où celui-ci était domicilié en Suisse, de sorte que toute personne faisant preuve de l'attention commandée par les circonstances aurait dû se rendre compte qu'un départ pour l'étranger pouvait avoir une incidence sur le droit aux allocations familiales. Enfin, les déclarations faites dans la demande de remise du 2 mars 2018 démontreraient que l'intimé avait des doutes quant à son droit aux allocations familiales ou, à tout le moins, à son obligation de renseigner, de sorte qu'en s'abstenant de se renseigner auprès de la caisse, il aurait commis une négligence grave.</w:t>
      </w:r>
    </w:p>
    <w:p>
      <w:r>
        <w:rPr>
          <w:b/>
        </w:rPr>
        <w:t>E. 5.3</w:t>
      </w:r>
    </w:p>
    <w:p>
      <w:r>
        <w:t>Les griefs de la recourante sont bien fondés. Le fait que l'intimé ait pu raisonnablement déduire de la convention de divorce qu'il avait toujours droit aux allocations familiales pour son fils B.________, une fois celui-ci installé à l'étranger, n'est pas suffisant pour admettre sa bonne foi (cf. consid. 4.2 supra). Il lui incombait en l'occurrence de signaler ce changement de situation à la recourante, tout comme son divorce, conformément à l' art. 31 al. 1 LPGA (cf. consid. 4.3 supra). Or en omettant de le faire, alors même que l'obligation d'annoncer toute modification susceptible d'influer sur le droit aux prestations - comme un changement de résidence des enfants ou un changement d'état civil - figurait dans la demande de prestations qu'il a remplie le 23 septembre 2014 et que cette obligation était rappelée dans la décision d'octroi de prestations du 11 novembre 2014, l'assuré a fait preuve de négligence grave, excluant sa bonne foi (cf. consid. 4.2 supra).</w:t>
      </w:r>
    </w:p>
    <w:p>
      <w:r>
        <w:rPr>
          <w:b/>
        </w:rPr>
        <w:t>E. 5.4</w:t>
      </w:r>
    </w:p>
    <w:p>
      <w:r>
        <w:t>Vu ce qui précède, le recours doit être admis.</w:t>
      </w:r>
    </w:p>
    <w:p>
      <w:r>
        <w:rPr>
          <w:b/>
        </w:rPr>
        <w:t>E. 6</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