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364/2007 vom 19. November 2007</w:t>
      </w:r>
    </w:p>
    <w:p>
      <w:r>
        <w:t>Bundesgericht, 2007-11-19, DE</w:t>
      </w:r>
    </w:p>
    <w:p>
      <w:r>
        <w:rPr>
          <w:b/>
        </w:rPr>
        <w:t xml:space="preserve">Quelle: </w:t>
      </w:r>
      <w:r>
        <w:t>https://mcp.opencaselaw.ch/entscheid/bger_8C_364_2007</w:t>
      </w:r>
    </w:p>
    <w:p>
      <w:r>
        <w:t>FR: TF 8C 364/2007 du 19 novembre 2007</w:t>
      </w:r>
    </w:p>
    <w:p>
      <w:r>
        <w:t>IT: TF 8C 364/2007 del 19 novembre 2007</w:t>
      </w:r>
    </w:p>
    <w:p>
      <w:pPr>
        <w:pStyle w:val="Heading2"/>
      </w:pPr>
      <w:r>
        <w:t>Regeste</w:t>
      </w:r>
    </w:p>
    <w:p>
      <w:r>
        <w:t>Invalidenversicherung | Invalidenversicherung</w:t>
      </w:r>
    </w:p>
    <w:p>
      <w:pPr>
        <w:pStyle w:val="Heading2"/>
      </w:pPr>
      <w:r>
        <w:t>Erwägungen</w:t>
      </w:r>
    </w:p>
    <w:p>
      <w:r>
        <w:rPr>
          <w:b/>
        </w:rPr>
        <w:t>E. 1.1</w:t>
      </w:r>
    </w:p>
    <w:p>
      <w:r>
        <w:t>Beim angefochtenen Rückweisungsentscheid handelt es sich um einen - selbstständig eröffneten - Vor- oder Zwischenentscheid im Sinne von Art. 93 BGG ( BGE 133 V 477 E. 4.2 S. 481).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Ein im Sinne von Art. 93 Abs. 1 lit. a BGG nicht wieder gutzumachender Nachteil ist rechtlicher Natur und auch mit einem für die Beschwerde führende Partei günstigen Endentscheid nicht oder nicht vollständig behebbar (Urteil 9C_301/2007 vom 28. September 2007). Ein Rückweisungsentscheid, mit dem eine Sache zur neuen Abklärung und Entscheidung an die Vorinstanz zurückgewiesen wird, bewirkt in der Regel keinen nicht wieder gutzumachenden Nachteil, führt er doch bloss zu einer (dieses Kriterium nicht erfüllenden) Verlängerung des Verfahrens. Wird hingegen durch materiellrechtliche Anordnungen im Rückweisungsentscheid der Beurteilungsspielraum der unteren Instanz wesentlich eingeschränkt und kann davon in der Folge nicht mehr abgewichen werden, ist ein solcher Nachteil gegeben. Dies trifft u.a. zu, wenn das kantonale Gericht abweichend von der IV-Stelle eine andere Invaliditätsbemessungsmethode für anwendbar erklärt (vgl. BGE 133 V 477 E. 5.2 S. 483).</w:t>
      </w:r>
    </w:p>
    <w:p>
      <w:r>
        <w:rPr>
          <w:b/>
        </w:rPr>
        <w:t>E. 1.3</w:t>
      </w:r>
    </w:p>
    <w:p>
      <w:r>
        <w:t>Mit dem vorliegend angefochtenen, nach Ansicht der Beschwerdeführerin rechtswidrigen Zwischenentscheid hat die Vorinstanz entschieden, der Invaliditätsgrad der Beschwerdegegnerin sei gestützt auf eine Arbeitsfähigkeit von 50 % und nicht wie von der IV-Stelle angenommen auf eine solche von 70 % zu bemessen. Die Beschwerdeführerin wird durch den streitigen Entscheid gezwungen, eine ihres Erachtens rechtswidrige neue Verfügung zu erlassen. Unter diesen Umständen führt der Rückweisungsentscheid zu einem nicht wieder gutzumachenden Nachteil, weshalb auf die Beschwerde einzutreten ist.</w:t>
      </w:r>
    </w:p>
    <w:p>
      <w:r>
        <w:rPr>
          <w:b/>
        </w:rPr>
        <w:t>E. 2.1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2.2</w:t>
      </w:r>
    </w:p>
    <w:p>
      <w:r>
        <w:t>Mit Blick auf diese Kognitionsregelung ist aufgrund der Vorbringen in der Beschwerde ans Bundesgericht zu prüfen, ob der angefochtene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w:t>
      </w:r>
    </w:p>
    <w:p>
      <w:r>
        <w:rPr>
          <w:b/>
        </w:rPr>
        <w:t>E. 3.1</w:t>
      </w:r>
    </w:p>
    <w:p>
      <w:r>
        <w:t>Die Vorinstanz hat die gesetzlichen Bestimmungen und die Rechtsprechung über die Begriffe der Erwerbsunfähigkeit ( Art. 7 ATSG ) und Invalidität erwerbstätiger Versicherter ( Art. 8 Abs. 1 ATSG ) sowie den Umfang des Rentenanspruchs ( Art. 28 Abs. 1 IVG ) und die Bemessung des Invaliditätsgrades bei erwerbstätigen Versicherten nach der allgemeinen Methode des Einkommensvergleichs ( Art. 28 Abs. 2 IVG in Verbindung mit Art. 16 ATSG ) richtig wiedergegeben. Darauf wird verwiesen. Richtig dargelegt hat sie zudem in beweisrechtlicher Hinsicht die Aufgabe von Arzt und Ärztin im Rahmen der Invaliditätsbemessung ( BGE 125 V 256 E. 4 S. 261, 105 V 156 E. 1 S. 159), die Grundsätze der freien Beweiswürdigung, welche das Gericht verpflichten, die Beweise - ohne Bindung an förmliche Regeln - umfassend, pflichtgemäss und objektiv zu würdigen, insbesondere die Gründe anzugeben, warum es auf die eine und nicht auf die andere medizinische These abstellt, und die Anforderungen an eine beweistaugliche und beweiskräftige medizinische Expertise ( BGE 125 V 351 E. 3a S. 352).</w:t>
      </w:r>
    </w:p>
    <w:p>
      <w:r>
        <w:rPr>
          <w:b/>
        </w:rPr>
        <w:t>E. 3.2</w:t>
      </w:r>
    </w:p>
    <w:p>
      <w:r>
        <w:t>In beweisrechtlicher Hinsicht zu ergänzen ist, dass das Administrativverfahren vor der IV-Stelle wie auch der kantonale Sozialversicherungsprozess vom Untersuchungsgrundsatz beherrscht sind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 I 828/06 vom 5. September 2007).</w:t>
      </w:r>
    </w:p>
    <w:p>
      <w:r>
        <w:rPr>
          <w:b/>
        </w:rPr>
        <w:t>E. 3.3</w:t>
      </w:r>
    </w:p>
    <w:p>
      <w:r>
        <w:t>Der Untersuchungsgrundsatz zählt zu den in Art. 95 BGG erwähnten bundesrechtlichen Vorschriften (Ueli Kieser, Auswirkungen des Bundesgesetzes über das Bundesgericht auf die Sozialversicherungsrechtspflege, in: Bernhard Ehrenzeller/Rainer J. Schweizer [Hrsg.], Die Reorganisation der Bundesrechtspflege - Neuerungen und Auswirkungen in der Praxis, St. Gallen 2006, S. 460 f.). Hat das kantonale Gericht die rechtserheblichen tatsächlichen Feststellungen - wozu die (Rest-)Arbeitsfähigkeit gehört, soweit sie sich auf konkrete ärztliche Stellungnahmen zum Gesundheitszustand stützt ( BGE 132 V 393 E. 3.2 S. 398) - in Verletzung des Untersuchungsgrundsatzes getroffen, sind sie für das Bundesgericht nicht verbindlich (Urteil I 828/06 vom 5. September 2007).</w:t>
      </w:r>
    </w:p>
    <w:p>
      <w:r>
        <w:rPr>
          <w:b/>
        </w:rPr>
        <w:t>E. 4.1</w:t>
      </w:r>
    </w:p>
    <w:p>
      <w:r>
        <w:t>Nach den Feststellungen des kantonalen Gerichts ist die Beschwerdegegnerin aufgrund ihres ausgewiesenen Rückenleidens, welches Dr. med. N.________ als chronische Lumbalgie nach Fenestration und Nucleotomie L 4/5 links und kleine Diskushernie L 4/5 mit Kontakt zur Nervenwurzel L 5 rechts sowie L 5/S 1 ohne Einengung neuraler Strukturen sowie Spondylarthrose L 4 bis S 1 diagnostizierte, selbst bei optimal angepassten Arbeitsplatzbedingungen höchstens im Umfang von 50 % arbeitsfähig. Zu diesem Ergebnis gelangte die Vorinstanz gestützt auf den Schlussbericht der beruflichen Abklärungen im Office vom 1. Februar 2006, welchem sie volle Beweiskraft zumisst. Das Gutachten des Dr. med. N.________ vom 16. Juni 2005, welches eine Arbeitsfähigkeit als Büroangestellte bei voller Stundenpräsenz von 50 % und in einer angepassten Tätigkeit von rund 70 % attestierte, bezeichnete sie demgegenüber mit Bezug auf die Arbeitsfähigkeitsschätzung als unklar, da sich der Orthopäde nicht dazu äussere, wie eine adaptierte Tätigkeit auszusehen habe. Insbesondere gehe daraus nicht hervor, ob damit die Einrichtung eines höhenverstellbaren Schreibtisches gemeint sei, wovon die IV-Stelle ausgehe. Fraglich sei auch, ob lediglich mit dem Wechsel von sitzender und stehender Arbeitshaltung eine Steigerung der Arbeitsfähigkeit um 20 % erreicht werden könne, zumal sich dies im Rahmen der beruflichen Abklärungen als unrealistisch erwiesen habe. Auf die Stellungnahmen des RAD-Arztes, welcher bei einem ergonomisch eingerichteten Büroarbeitsplatz von einer Arbeitsfähigkeit von 70 % ausging, kann nach Ansicht des kantonalen Gerichts nicht abgestellt werden, nachdem beim Verein Y.________ sämtliche ergonomischen Möglichkeiten erfolglos getestet worden seien. Aufgrund der praktischen Arbeitserprobung habe sich gezeigt, dass ein 50 % übersteigendes Arbeitspensum nicht realisierbar sei, wovon aus neurochirurgischer Sicht auch Prof. Dr. med. H.________ im Bericht vom 31. Januar 2006 ausgehe.</w:t>
      </w:r>
    </w:p>
    <w:p>
      <w:r>
        <w:rPr>
          <w:b/>
        </w:rPr>
        <w:t>E. 4.2</w:t>
      </w:r>
    </w:p>
    <w:p>
      <w:r>
        <w:t>Die Beschwerdeführerin rügt, indem die Vorinstanz bei der Beurteilung der verbleibenden Arbeitsfähigkeit nicht auf das Gutachten des Dr. med. N.________, sondern auf davon abweichende, wesentlich auf den subjektiv geklagten Beschwerden der Versicherten beruhende und damit nur beschränkt beweistaugliche Einschätzungen abgestellt habe, habe sie den Sachverhalt offensichtlich falsch festgestellt und damit geltendes Recht verletzt. Zwar enthalte das orthopädische Gutachten vom 16. Juni 2005 hinsichtlich der adaptierten Tätigkeiten eine offene Formulierung, indem es das Profil einer Verweisungstätigkeit nicht auf eine bestimmte Beschäftigung einenge. Es sei jedoch präzise genug, um als Zumutbarkeitsmassstab für einzelne Tätigkeits- und Stellenprofile zu dienen. Der Bericht über die Ergebnisse der beruflichen Abklärungen vom 1. Februar 2006 sei nicht objektiv, sondern wesentlich von der Selbsteinschätzung und Leistungsbereitschaft der Explorandin geprägt, weshalb die Arbeitsfähigkeitsschätzung des Dr. med. N.________ nicht durch jene der beruflichen Abklärer ersetzt werden dürfe. Zu berücksichtigen gelte es überdies, dass Prof. Dr. med. H.________ als behandelnder Arzt nicht die Stellung eines Sachverständigen, sondern jene einer Auskunftsperson zukomme.</w:t>
      </w:r>
    </w:p>
    <w:p>
      <w:r>
        <w:rPr>
          <w:b/>
        </w:rPr>
        <w:t>E. 5.1</w:t>
      </w:r>
    </w:p>
    <w:p>
      <w:r>
        <w:t>Entgegen der Auffassung von Vorinstanz und Verwaltung lässt sich auf der Grundlage der angeführten medizinischen und berufspraktischen Unterlagen die funktionelle Leistungsfähigkeit der Beschwerdegegnerin in einer ihrem Rückenleiden angepassten Erwerbstätigkeit nicht mit hinreichender Zuverlässigkeit beurteilen. Während Dr. med. N.________ davon ausgeht, eine angepasste Tätigkeit sollte abwechslungsweise sitzend und stehend durchgeführt werden können, ohne dass dabei regelmässig unphysiologische, insbesondere gebückte Körperhaltungen eingenommen werden müssten und bei denen keine Gewichte über 5 kg regelmässig gehoben oder getragen werden sollten, wobei bei einem Pensum von täglich 8 Stunden und 15 Minuten eine Leistung von rund 70 % zumutbar sei, kommt die berufliche Abklärung im Office, welche im Auftrag der IV-Berufsberaterin zu prüfen hatte, ob die Versicherte eine 70%ige Arbeitsfähigkeit auch bei einer Tätigkeit als Büroangestellte erreichen könne, zum Schluss, dass eine Wiedereingliederung in den freien Arbeitsmarkt im Umfang von 50 % als realistisch zu betrachten sei, zeitlich aufgeteilt auf 2 Stunden am Vormittag und 2 Stunden am Nachmittag. Die Leiter der beruflichen Abklärung dachten dabei vor allem an eine Tätigkeit im Callbereich, weil dort die Arbeit am ehesten selbstständig eingeteilt werden könne. Bei der Arbeitserprobung arbeitete die Versicherte jeweils nur vormittags. Eine Steigerung konnte laut Schlussbericht vom 1. Februar 2006 nicht erreicht werden, da sie über erhebliche Schmerzen klagte, die es ihr verunmöglichten, sich auf die Arbeit zu konzentrieren und sie darum bat, sich hinlegen zu dürfen.</w:t>
      </w:r>
    </w:p>
    <w:p>
      <w:r>
        <w:rPr>
          <w:b/>
        </w:rPr>
        <w:t>E. 5.2</w:t>
      </w:r>
    </w:p>
    <w:p>
      <w:r>
        <w:t>Zwischen Berufsberater und Mediziner ist nach der Rechtsprechung eine enge, sich gegenseitig ergänzende Zusammenarbeit erforderlich. Der Arzt sagt, inwiefern die versicherte Person in ihren körperlichen und/oder geistigen Funktionen durch ihre Leiden eingeschränkt ist. Der Berufsberater äussert sich dazu, welche konkreten beruflichen Tätigkeiten aufgrund der ärztlichen Angaben und unter Berücksichtigung der übrigen Fähigkeiten der versicherten Person in Frage kommen, wobei unter Umständen entsprechende Rückfragen beim Arzt erforderlich sind ( BGE 107 V 17 2b S. 20). Da das Gutachten des Dr. med. N.________ kein vollständiges und schlüssiges Bild der Restarbeitsfähigkeit zu liefern vermag und die von der IV-Stelle veranlasste praxisbezogene Verifizierung aufgrund einer Gesamtbeurteilung zu anderen Schlussfolgerungen führte, hätte im Lichte des Untersuchungsgrundsatzes zumindest eine präzisierende Stellungnahme bei Dr. med. N.________ eingeholt und - bei immer noch nicht schlüssiger Beweislage - ein klärendes medizinisches Gutachten veranlasst werden müssen. Ein solches Vorgehen drängt sich auch deshalb auf, weil die RAD-Berichte, abgesehen davon, dass sie den von der Rechtsprechung entwickelten Anforderungen an beweistaugliche und beweiskräftige medizinische Gutachten nicht genügen ( BGE 125 V 351 E. 3a S. 352), in einem im Rahmen der Beweiswürdigung nicht auflösbaren Widerspruch zur Schlussfolgerung der Leiter der beruflichen Abklärung im Office stehen. Auch die nicht näher begründeten Stellungnahmen des Dr. med. H.________ vom 31. Januar und 15. Juni 2006 genügen nicht, um die Restarbeitsfähigkeit in leidensangepassten Tätigkeiten mit dem erforderlichen Beweisgrad der überwiegenden Wahrscheinlichkeit feststellen zu können. Zudem kann auf (Verlaufs-)Berichte der behandelnden (Spezial-)Ärztinnen und Ärzte nur dann abgestellt werden, wenn diese ein stimmiges und vollständiges Bild des Gesundheitszustandes abgeben, was bei der kurzen Bescheinigung des behandelnden Neurochirurgen des Spitals X.________ nicht der Fall ist.</w:t>
      </w:r>
    </w:p>
    <w:p>
      <w:r>
        <w:rPr>
          <w:b/>
        </w:rPr>
        <w:t>E. 5.3</w:t>
      </w:r>
    </w:p>
    <w:p>
      <w:r>
        <w:t>Da aufgrund der Aktenlage nicht klar ist, in welchem Umfange der Beschwerdegegnerin aus medizinischer Sicht die Aufnahme einer Verweisungstätigkeit zumutbar ist, stellt die diesbezüglich unvollständige Feststellung des entscheidwesentlichen Sachverhalts durch die Vorinstanz eine vom Bundesgericht von Amtes wegen zu korrigierende ( Art. 106 Abs. 1 BGG ) Rechtsverletzung im Sinne von Art. 95 lit. a BGG dar. Die IV-Stelle wird aufgrund der nachzuholenden medizinischen Abklärungen hinsichtlich der Arbeitsfähigkeit der Versicherten in einer ihren Rückenbeschwerden angepassten Erwerbstätigkeit erneut über den Rentenanspruch verfügen. Dabei wird sie gegebenenfalls auch den Zeitpunkt festzulegen haben, ab welchem der Rentenanspruch besteht.</w:t>
      </w:r>
    </w:p>
    <w:p>
      <w:r>
        <w:rPr>
          <w:b/>
        </w:rPr>
        <w:t>E. 6</w:t>
      </w:r>
    </w:p>
    <w:p>
      <w:r>
        <w:t>Das Verfahren ist kostenpflichtig ( Art. 65 BGG ). Die Rückweisung der Sache an die Verwaltung zur Aktenergänzung und neuen Verfügung gilt praxisgemäss grundsätzlich als Obsiegen der beschwerdeführenden IV-Stelle (vgl. BGE 133 V 477 E. 7 S. 487; zur nach Art. 159 OG ergangenen Rechtsprechung, in Kraft gestanden bis 31. Dezember 2006 vgl. BGE 132 V 215 E. 6.1 S. 235; differenzierend: BGE 130 V 97 nicht publ. E. 5, 129 V 32 nicht publ. E. 7). Die Kosten sind somit der Beschwerdegegnerin aufzuerlegen ( Art. 66 Abs. 1 BGG ). Eine Parteientschädigung an die obsiegende Beschwerdeführerin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