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8C_363/2011 vom 11. Oktober 2011</w:t>
      </w:r>
    </w:p>
    <w:p>
      <w:r>
        <w:t>Bundesgericht, 2011-10-11, DE</w:t>
      </w:r>
    </w:p>
    <w:p>
      <w:r>
        <w:rPr>
          <w:b/>
        </w:rPr>
        <w:t xml:space="preserve">Quelle: </w:t>
      </w:r>
      <w:r>
        <w:t>https://mcp.opencaselaw.ch/entscheid/bger_8C_363_2011</w:t>
      </w:r>
    </w:p>
    <w:p>
      <w:r>
        <w:t>FR: TF 8C_363/2011 du 11 octobre 2011</w:t>
      </w:r>
    </w:p>
    <w:p>
      <w:r>
        <w:t>IT: TF 8C_363/2011 del 11 ottobre 2011</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Aus Art. 102 Abs. 3 BGG folgt e contrario, dass es im Verfahren vor Bundesgericht in der Regel bei einem einfachen Schriftenwechsel sein Bewenden hat (ULRICH MEYER/JOHANNA DORMANN, in: Basler Kommentar, Bundesgerichtsgesetz, 2. Aufl. 2011, N. 19 zu Art. 102 BGG ) und nur ausnahmsweise ein zweiter Schriftenwechsel eröffnet wird ( BGE 133 I 98 E. 2.2 S. 99). Der Versicherte legt nicht dar, worin mit Blick auf den angefochtenen Entscheid eine besondere "Komplexität des Falles" besteht, welche ausnahmsweise die Durchführung eines zweiten Schriftenwechsels rechtfertigen soll (Urteil 8C_124/2011 vom 27. Juni 2011 E. 2). Von der Durchführung des beantragten zweiten Schriftenwechsels ist demnach abzusehen, enthält doch die Vernehmlassung der IV-Stelle weder für den Verfahrensausgang wesentliche neue Aspekte, zu denen der Versicherte vor der Entscheidfällung angehört werden müsste, noch dient ein zweiter Schriftenwechsel dazu, Anträge und Rügen vorzubringen, die bereits in der Beschwerde selbst hätten gestellt oder vorgebracht werden können und müssen ( Art. 102 BGG ; Urteil 8C_761/2008 vom 27. März 2009 E. 1 mit Hinweis).</w:t>
      </w:r>
    </w:p>
    <w:p>
      <w:r>
        <w:rPr>
          <w:b/>
        </w:rPr>
        <w:t>E. 3</w:t>
      </w:r>
    </w:p>
    <w:p>
      <w:r>
        <w:t>Die Vorinstanz hat die Bestimmungen und Grundsätze über den Anspruch auf rechtliches Gehör ( Art. 29 Abs. 2 BV ), Ausstands- und Ablehnungsgründe sowie deren rechtzeitige Geltendmachung ( Art. 44 ATSG ; BGE 132 V 93 E. 7.4.2 S. 112), den Anspruch auf eine Rente der Invalidenversicherung ( Art. 28 Abs. 1 IVG in der bis 31. Dezember 2003 sowie in der von 1. Januar 2004 bis 31. Dezember 2007 geltenden Fassung), den Begriff der Invalidität ( Art. 8 ATSG in Verbindung mit Art. 4 Abs. 1 IVG in der seit 1. Januar 2003 geltenden Fassung), insbesondere bei psychischen Gesundheitsschäden ( BGE 131 V 49 , 130 V 352, 130 V 396, je mit Hinweisen), und die Ermittlung des Invaliditätsgrades nach der allgemeinen Methode des Einkommensvergleichs ( Art. 16 ATSG ; BGE 129 V 222 , 128 V 29 E. 1 S. 30 mit Hinweis) zutreffend dargelegt. Dasselbe gilt für die Anforderungen an einen ärztlichen Bericht ( BGE 134 V 231 E. 5.1 S. 232, 125 V 351 E. 3a S. 352), die antizipierte Beweiswürdigung ( BGE 136 I 229 E. 5.3 S. 236) und den Anspruch auf Umschulung ( Art. 17 IVG ; BGE 124 V 108 E. 2 S. 109). Darauf wird verwiesen.</w:t>
      </w:r>
    </w:p>
    <w:p>
      <w:r>
        <w:rPr>
          <w:b/>
        </w:rPr>
        <w:t>E. 4</w:t>
      </w:r>
    </w:p>
    <w:p>
      <w:r>
        <w:t>Die Vorinstanz hat in für das Bundesgericht verbindlicher Weise (E. 1) festgestellt, dass der medizinische Sachverhalt hinreichend abgeklärt ist, dem Versicherten gestützt auf die Gutachten des Dr. med. H.________ vom 7. Februar 2005 und des Dr. med. E.________ vom 23. Januar 2006 sowie die Berichte der Rehaklinik C.________ vom 23. Mai 2003, des Kreisarztes Dr. med. K.________, Facharzt für Chirurgie, vom 15. Januar und 2. Oktober 2003, des Kreisarztes Dr. med. W.________ vom 13. November 2002, des Kreisarztes Dr. med. G.________ vom 13. September 2002, des Dr. med. O.________, Facharzt für orthopädische Chirurgie, Spital Y.________, vom 18. August 2004, sowie der Ärzte der interdisziplinären Sprechstunde, Spital Z.________, vom 21. April 2004 dem Versicherten die angestammte Tätigkeit als Maurer nicht mehr, wohl aber eine leichte körperliche Tätigkeit voll zumutbar ist, und dass auf die abweichende Beurteilung durch Dr. med. A.________, Facharzt für Psychiatrie und Psychotherapie, der Frau Dr. med. M.________, Fachärztin für Allgemeine Medizin, und des Dr. med. S.________, Facharzt für Allgemeine Medizin, nicht abgestellt werden kann. Gestützt darauf hat die Vorinstanz einen rentenausschliessenden Invaliditätsgrad von 25 % ermittelt und einen Anspruch auf Umschulung abgelehnt.</w:t>
      </w:r>
    </w:p>
    <w:p>
      <w:r>
        <w:t>Daran vermögen die erhobenen Einwände des Versicherten nichts zu ändern. Namentlich liegt selbst unter Berücksichtigung des kürzlich ergangenen BGE 137 V 210 keine Verletzung des Anspruchs auf rechtliches Gehör ( Art. 29 Abs. 2 BV ) vor. Denn dem Versicherten wurden vorgängig zur jeweiligen Begutachtung sowohl die Namen als auch die dem Sachverständigen unterbreiteten Fragen zur Stellungnahme zugestellt. Weiter legt der Versicherte nicht dar, inwiefern die Sachverhaltsfeststellung willkürlich sein soll. Soweit der Versicherte rügen lässt, es liege eine Verletzung des Untersuchungsgrundsatzes (Art. 43 resp. Art. 61 lit. c ATSG ) vor, kann ihm nicht gefolgt werden. Der medizinische Sachverhalt wurde sowohl in somatischer wie auch psychischer Hinsicht eingehend abgeklärt. Ebenso wenig ist sein Anspruch auf eine öffentliche Verhandlung verletzt. Diese wurde durchgeführt. Dass seinem kurzfristig und unter den gegebenen Umständen vom Gericht als unnötig qualifizierten Antrag auf Bestellung eines Dolmetschers nicht entsprochen wurde, ist nicht zu beanstanden. Auch die im Rahmen der grundsätzlich zulässigen antizipierten Beweiswürdigung erfolgte Ablehnung der beantragten Einvernahmen gibt keinen Anlass für ein Einschreiten, da mit der Vorinstanz festzuhalten ist, dass die angerufenen Ärzte sich bereits schriftlich zum Sachverhalt geäussert haben und eine Befragung des Versicherten lediglich seine subjektive, für die hier zu beantwortenden Fragen jedoch nicht massgebliche Aussage ergeben hätte. Weiter ist die Ermittlung des Invaliditätsgrades nicht zu beanstanden; insbesondere ist nicht ersichtlich, inwiefern der gewährte behinderungsbedingte Abzug von 10 % beim Invalideneinkommen einen Ermessensmissbrauch darstellen soll. Zudem würde selbst bei (unzulässiger) Mitberücksichtigung der Nebenerwerbstätigkeit nur beim Valideneinkommen kein rentenbegründender Invaliditätsgrad resultieren. Bezüglich der übrigen geltend gemachten Verletzungen des Art. 6 Ziff. 1 EMRK (fehlende Waffengleichheit, fehlende Unabhängigkeit des Sachverständigen, etc.) wird vollumfänglich auf BGE 135 V 465 verwiesen. Im Übrigen hat die Vorinstanz zu Recht gestützt auf die mehrfach ausgewiesene fehlende Motivation des Versicherten einen Anspruch auf Umschulung abgelehnt. Schliesslich legt der Versicherte bezüglich des Vorwurfs, die Rechtsprechung zu den somatoformen Schmerzstörungen verletze Art. 8 in Verbindung mit Art. 14 EMRK nicht dar, inwiefern der Schutzbereich von Art. 8 EMRK überhaupt tangiert sein soll (vgl. Art. 106 Abs. 2 BGG ).</w:t>
      </w:r>
    </w:p>
    <w:p>
      <w:r>
        <w:rPr>
          <w:b/>
        </w:rPr>
        <w:t>E. 5</w:t>
      </w:r>
    </w:p>
    <w:p>
      <w:r>
        <w:t>Der Beschwerdeführer beantragt, es sei ihm eine höhere Parteientschädigung für den Aufwand des unentgeltlichen Rechtsvertreters zuzusprechen.</w:t>
      </w:r>
    </w:p>
    <w:p>
      <w:r>
        <w:t>Nach konstanter Rechtsprechung (vgl. zur Rechtsprechung unter der Herrschaft des Bundesgesetzes vom 16. Dezember 1943 über die Organisation der Bundesrechtspflege [OG] SVR 2008 MV Nr. 2 S. 3 E. 5.3.3 [M 2/06] oder SVR 1995 AlV Nr. 42 S. 117 E. 4) steht die Beschwerdelegitimation bezüglich der Höhe der im Rahmen der unentgeltlichen Rechtspflege zugesprochenen Entschädigung (Bemessung der Entschädigung) nicht der rechtsuchenden Person, sondern ihrem Rechtsvertreter zu ( BGE 131 V 153 E. 1 S. 155; SVR 2009 IV Nr. 48 S. 144 E. 2.2.1 [9C_991/2008]; vgl. auch Urteil 5D_88/2008 vom 14. August 2008 E. 1).</w:t>
      </w:r>
    </w:p>
    <w:p>
      <w:r>
        <w:t>Der Rechtsvertreter des Versicherten hielt zu Beginn der Beschwerde fest: "Namens und im Auftrage meines Klienten unterbreite ich Ihnen nachstehende Rechtsbegehren: (...) Es sei Ziffer III des kantonsgerichtlichen Urteils aufzuheben und dem Beschwerdeführer für die beiden Verfahren vor dem Kantonsgericht Freiburg mindestens die Summe von sFr. 4'852.80 zuzusprechen." Der entsprechende Antrag wurde somit im Namen des Versicherten erhoben, so dass darauf mangels Beschwerdelegitimation des Versicherten nicht eingetreten werden kann.</w:t>
      </w:r>
    </w:p>
    <w:p>
      <w:r>
        <w:rPr>
          <w:b/>
        </w:rPr>
        <w:t>E. 6.1</w:t>
      </w:r>
    </w:p>
    <w:p>
      <w:r>
        <w:t>Die unentgeltliche Rechtspflege kann nur gewährt werden, wenn die Rechtsvorkehr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Hinweisen).</w:t>
      </w:r>
    </w:p>
    <w:p>
      <w:r>
        <w:t>Die vom Versicherten geltend gemachten formalrechtlichen Rügen hat sein Anwalt bereits im Verfahren 8C_216/2009 erhoben, welche das Bundesgericht mit BGE 135 V 465 verworfen hat. Bei dieser Ausgangslage musste dem Rechtsvertreter bewusst sein, dass die hier geltend gemachten Einwände aussichtslos sind. Ist ein Begehren aussichtslos, kann dem Gesuch um unentgeltliche Rechtspflege aber nicht entsprochen werden.</w:t>
      </w:r>
    </w:p>
    <w:p>
      <w:r>
        <w:rPr>
          <w:b/>
        </w:rPr>
        <w:t>E. 6.2</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