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8C_362/2023 vom 6. Juni 2023</w:t>
      </w:r>
    </w:p>
    <w:p>
      <w:r>
        <w:t>Bundesgericht, 2023-06-06, DE</w:t>
      </w:r>
    </w:p>
    <w:p>
      <w:r>
        <w:rPr>
          <w:b/>
        </w:rPr>
        <w:t xml:space="preserve">Quelle: </w:t>
      </w:r>
      <w:r>
        <w:t>https://mcp.opencaselaw.ch/entscheid/bger_8C_362_2023</w:t>
      </w:r>
    </w:p>
    <w:p>
      <w:r>
        <w:t>FR: TF 8C_362/2023 du 6 juin 2023</w:t>
      </w:r>
    </w:p>
    <w:p>
      <w:r>
        <w:t>IT: TF 8C_362/2023 del 6 giugno 2023</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legte im angefochtenen Urteil vom 27. März 2023in Auseinandersetzung mit den Parteivorbringen und in Würdigung der Akten ausführlich dar, weshalb die Beschwerdegegnerin mit Verfügung vom 11. November 2021 das mit Anmeldung vom 24. Mai 2019 gestellte Begehren um Leistungen der Invalidenversicherung ablehnen durfte.</w:t>
      </w:r>
    </w:p>
    <w:p>
      <w:r>
        <w:rPr>
          <w:b/>
        </w:rPr>
        <w:t>E. 3</w:t>
      </w:r>
    </w:p>
    <w:p>
      <w:r>
        <w:t>Der Beschwerdeführer beanstandet dies, ohne indessen hinreichend aufzuzeigen, inwieweit die von der Vorinstanz getroffenen Sachverhaltsfeststellungen offensichtlich unrichtig im Sinne von Art. 97 Abs. 1 BGG , das heisst willkürlich ( BGE 146 IV 88 E. 1.3.1 f.; 140 III 115 E. 2; je mit Hinweisen), und die darauf beruhenden Erwägungen rechtsfehlerhaft sein sollen. Insbesondere reicht es nicht aus, den Gesundheitszustand aus eigener Sicht zu schildern, die festgestellte Arbeitsfähigkeit (80 % in einer angepassten Tätigkeit) als unrealistisch abzutun und überdies um die Beigabe eines Rechtsvertreters zu ersuchen. Ein solches Gesuch entbindet nicht von der Pflicht, innert der nicht erstreckbaren Rechtsmittelfrist eine den eingangs aufgezeigten Mindestanforderungen genügende Beschwerde einzureichen (Urteile 8C_561/2021 vom 29. September 2021 und 6B_436/2021 vom 23. August 2021 E. 4 und 6B_1154/2020 vom 21. Oktober 2020 E. 3),</w:t>
      </w:r>
    </w:p>
    <w:p>
      <w:r>
        <w:rPr>
          <w:b/>
        </w:rPr>
        <w:t>E. 4</w:t>
      </w:r>
    </w:p>
    <w:p>
      <w:r>
        <w:t>Da dieser Begründungsmangel offensichtlich ist, führt dies zu einem Nichteintreten auf das Rechtsmittel im vereinfachten Verfahren nach Art. 108 Abs. 1 lit. b BGG .</w:t>
      </w:r>
    </w:p>
    <w:p>
      <w:r>
        <w:rPr>
          <w:b/>
        </w:rPr>
        <w:t>E. 5</w:t>
      </w:r>
    </w:p>
    <w:p>
      <w:r>
        <w:t>Das in der Beschwerdeschrift gestellte Gesuch um unentgeltliche Rechtspflege ist wegen aussichtsloser Beschwerdeführung abzuweisen ( Art. 64 Abs. 1 BGG ).</w:t>
      </w:r>
    </w:p>
    <w:p>
      <w:r>
        <w:t>In Anwendung von Art. 66 Abs. 1 Satz 2 BGG kann indessen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