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8C_362/2019 vom 4. Juli 2019</w:t>
      </w:r>
    </w:p>
    <w:p>
      <w:r>
        <w:t>Bundesgericht, 2019-07-04, DE</w:t>
      </w:r>
    </w:p>
    <w:p>
      <w:r>
        <w:rPr>
          <w:b/>
        </w:rPr>
        <w:t xml:space="preserve">Quelle: </w:t>
      </w:r>
      <w:r>
        <w:t>https://mcp.opencaselaw.ch/entscheid/bger_8C_362_2019</w:t>
      </w:r>
    </w:p>
    <w:p>
      <w:r>
        <w:t>FR: TF 8C_362/2019 du 4 juillet 2019</w:t>
      </w:r>
    </w:p>
    <w:p>
      <w:r>
        <w:t>IT: TF 8C_362/2019 del 4 luglio 2019</w:t>
      </w:r>
    </w:p>
    <w:p>
      <w:pPr>
        <w:pStyle w:val="Heading2"/>
      </w:pPr>
      <w:r>
        <w:t>Erwägungen</w:t>
      </w:r>
    </w:p>
    <w:p>
      <w:r>
        <w:rPr>
          <w:b/>
        </w:rPr>
        <w:t>E. 1</w:t>
      </w:r>
    </w:p>
    <w:p>
      <w:r>
        <w:t>Die beiden praktisch identischen Beschwerden richten sich zwar gegen zwei verschiedene, von derselben Vorinstanz gleichentags gefällte Entscheide, stehen jedoch in einem engen sachlichen und prozessualen Zusammenhang. Der Beschwerdeführer stellt in beiden Rechtsschriften die gleichen Anträge (vgl. Urteil 6B_919/2018 und 6B_1043/2018 vom 17. Mai 2019 E. 1). Die Verfahren 8C_362/2019 (Anspruch auf Invalidenrente) und 8C_363/2019 (Anspruch auf Hilflosenentschädigung) betreffen denselben Sachverhalt und die gleichen Parteien. Zudem stellen sich im Wesentlichen dieselben Rechtsfragen. Es rechtfertigt sich daher, die beiden Verfahren zu vereinigen und in einem einzigen Urteil zu erledigen (vgl. Art. 71 BGG in Verbindung mit Art. 24 BZP ; vgl. auch Urteil 9C_175/2019 und 9C_176/2019 vom 6. Mai 2019 E. 1.1 mit Hinweis).</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 Auf ungenügend begründete Rügen oder bloss allgemein gehaltene appellatorische Kritik am angefochtenen Entscheid tritt das Bundesgericht nicht ein ( BGE 141 IV 249 E. 1.3.1 S. 253; 140 III 264 E. 2.3 S. 266 mit Hinweisen; Urteil 8C_794/2018 vom 15. Februar 2019 E. 1.2).</w:t>
      </w:r>
    </w:p>
    <w:p>
      <w:r>
        <w:rPr>
          <w:b/>
        </w:rPr>
        <w:t>E. 3</w:t>
      </w:r>
    </w:p>
    <w:p>
      <w:r>
        <w:t>Streitig ist, ob die Vorinstanz Bundesrecht verletzte, indem sie die Verfügungen der IV-Stelle vom 17. und 25. November 2016 bestätigte, wonach der Versicherte weder einen Anspruch auf Hilflosenentschädigung noch einen Rentenanspruch hat.</w:t>
      </w:r>
    </w:p>
    <w:p>
      <w:r>
        <w:rPr>
          <w:b/>
        </w:rPr>
        <w:t>E. 4</w:t>
      </w:r>
    </w:p>
    <w:p>
      <w:r>
        <w:t>Das kantonale Gericht hat die für die Beurteilung der Streitsache massgebenden rechtlichen Grundlagen in den angefochtenen Entscheiden zutreffend wiedergegeben. Darauf wird verwiesen ( Art. 109 Abs. 3 BGG ).</w:t>
      </w:r>
    </w:p>
    <w:p>
      <w:r>
        <w:rPr>
          <w:b/>
        </w:rPr>
        <w:t>E. 5</w:t>
      </w:r>
    </w:p>
    <w:p>
      <w:r>
        <w:t>Der Beschwerdeführer beanstandet in beiden Verfahren einzig, die Vorinstanz habe den Untersuchungsgrundsatz respektive die Beweiswürdigungsregeln verletzt. Beim systemischen Lupus erythematodes handle es sich um eine Schubkrankheit. Das BEGAZ-Gutachten sei nicht überzeugend, weil es dieser Tatsache "zu wenig Rechnung getragen" habe. Demgegenüber habe die behandelnde Rheumatologin Dr. med. C.________ in ihrem Bericht vom 11. Januar 2017 ausdrücklich auf vier Krankheitsschübe im Jahre 2016 hingewiesen. Mit Blick darauf sei die antizipierte Beweiswürdigung "nicht rechtmässig" erfolgt, weshalb zusätzliche medizinische und erwerbliche Abklärungen erforderlich seien.</w:t>
      </w:r>
    </w:p>
    <w:p>
      <w:r>
        <w:rPr>
          <w:b/>
        </w:rPr>
        <w:t>E. 5.1</w:t>
      </w:r>
    </w:p>
    <w:p>
      <w:r>
        <w:t>Die richterliche Überprüfungsbefugnis ist in zeitlicher Hinsicht ( BGE 143 V 409 E. 2.1 i.f. S. 411 mit Hinweis) auf den Sachverhalt beschränkt, wie er sich bis zum Erlass der Verfügungen vom 17. und 25. November 2016 verwirklicht hat (vgl. SVR 2018 IV Nr. 10 S. 32, 8C_35/2017 E. 3.1, mit Hinweis auf BGE 132 V 215 E. 3.1.1 S. 220).</w:t>
      </w:r>
    </w:p>
    <w:p>
      <w:r>
        <w:rPr>
          <w:b/>
        </w:rPr>
        <w:t>E. 5.2</w:t>
      </w:r>
    </w:p>
    <w:p>
      <w:r>
        <w:t>Das kantonale Gericht hat sich mit den bereits vorinstanzlich erhobenen Rügen eingehend auseinandergesetzt und dabei auch den Bericht der Dr. med. C.________ vom 11. Januar 2017 mitberücksichtigt. Insbesondere würdigte es das BEGAZ-Gutachten in Bezug auf die vorgetragenen Einwände. Es begründete schliesslich ausführlich und bundesrechtskonform, weshalb im Ergebnis auf die Arbeitsfähigkeitsbeurteilung gemäss BEGAZ-Gutachten abzustellen ist und der Versicherte nach der bei Erlass der Verfügung vom 17. November 2016 massgebenden Aktenlage (vgl. E. 5.1 hievor) nicht in anspruchsrelevanter Weise hilflos war.</w:t>
      </w:r>
    </w:p>
    <w:p>
      <w:r>
        <w:rPr>
          <w:b/>
        </w:rPr>
        <w:t>E. 5.3</w:t>
      </w:r>
    </w:p>
    <w:p>
      <w:r>
        <w:t>Der Beschwerdeführer begnügt sich im Wesentlichen mit appellatorischer Kritik (vgl. dazu E. 2.2 i.f.) am angefochtenen Entscheid und setzt sich mit den vorinstanzlichen Erwägungen kaum in rechtsgenüglicher Weise auseinander (vgl. Art. 42 Abs. 2 BGG ). Soweit Verwaltung und Vorinstanz in antizipierter Beweiswürdigung einen Bedarf an weiteren Abklärungen verneinten, kann einzig Willkür gerügt werden ( BGE 136 I 229 E. 5.3 S. 236 f. mit Hinweisen; Urteil 1C_135/2013 vom 16. Dezember 2013 E. 2; vgl. auch Urteil 8C_316/2017 vom 20. Juni 2017 E. 2.3.4 mit Hinweis). Inwiefern die vorinstanzliche Beweiswürdigung das Willkürverbot ( Art. 9 BV ) verletzt, macht der Beschwerdeführer nicht geltend und ist nicht ersichtlich. Mit Blick auf seine Vorbringen finden sich keine Anhaltspunkte für eine offensichtliche Unrichtigkeit der vorinstanzlichen Sachverhaltsfeststellungen beziehungsweise eine diesbezügliche Rechtsverletzung.</w:t>
      </w:r>
    </w:p>
    <w:p>
      <w:r>
        <w:rPr>
          <w:b/>
        </w:rPr>
        <w:t>E. 5.4</w:t>
      </w:r>
    </w:p>
    <w:p>
      <w:r>
        <w:t>Gegen die auf der medizinischen Sachverhaltsfeststellung (E. 5.2) beruhende Ermittlung des Invaliditätsgrades von 37 % gemäss angefochtenem Entscheid hat der Beschwerdeführer zu Recht keine Einwände erhoben.</w:t>
      </w:r>
    </w:p>
    <w:p>
      <w:r>
        <w:rPr>
          <w:b/>
        </w:rPr>
        <w:t>E. 5.5</w:t>
      </w:r>
    </w:p>
    <w:p>
      <w:r>
        <w:t>Fehlt es an medizinisch nachvollziehbar und überzeugend erstellten Anhaltspunkten für eine anspruchsrelevante Hilflosigkeit (E. 5.2 i.f.) sowie an einem Invaliditätsgrad von mindestens 40 % ( Art. 28 Abs. 2 IVG ), sind die angefochtenen Entscheide nicht als bundesrechtswidrig zu beanstanden.</w:t>
      </w:r>
    </w:p>
    <w:p>
      <w:r>
        <w:rPr>
          <w:b/>
        </w:rPr>
        <w:t>E. 6</w:t>
      </w:r>
    </w:p>
    <w:p>
      <w:r>
        <w:t>Die offensichtlich unbegründeten Beschwerden werden im vereinfachten Verfahren nach Art. 109 Abs. 2 lit. a BGG ohne Durchführung eines Schriftenwechsels, mit summarischer Begründung und unter Verweis auf die kantonalen Entscheide ( Art. 109 Abs. 3 BGG ) erledigt.</w:t>
      </w:r>
    </w:p>
    <w:p>
      <w:r>
        <w:rPr>
          <w:b/>
        </w:rPr>
        <w:t>E. 7.1</w:t>
      </w:r>
    </w:p>
    <w:p>
      <w:r>
        <w:t>Das Verfahren ist kostenpflichtig. Der unterliegende Versicherte hat die Gerichtskosten zu tragen ( Art. 66 Abs. 1 BGG ).</w:t>
      </w:r>
    </w:p>
    <w:p>
      <w:r>
        <w:rPr>
          <w:b/>
        </w:rPr>
        <w:t>E. 7.2</w:t>
      </w:r>
    </w:p>
    <w:p>
      <w:r>
        <w:t>Da die Beschwerden offensichtlich unbegründet sind (E. 6), sind sie als aussichtslos im Sinne von Art. 64 Abs. 1 BGG zu bezeichnen (vgl. dazu Thomas Geiser, in: Basler Kommentar, Bundesgerichtsgesetz, 3. Aufl. 2018, N. 22 i.f. zu Art. 64 BGG ; Urteil 8C_772/2018 vom 19. März 2019 E. 8.2). Die Gesuche um unentgeltliche Rechtspflege sind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