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8C_361/2024 vom 2. Oktober 2024</w:t>
      </w:r>
    </w:p>
    <w:p>
      <w:r>
        <w:t>Bundesgericht, 2024-10-02, FR</w:t>
      </w:r>
    </w:p>
    <w:p>
      <w:r>
        <w:rPr>
          <w:b/>
        </w:rPr>
        <w:t xml:space="preserve">Quelle: </w:t>
      </w:r>
      <w:r>
        <w:t>https://mcp.opencaselaw.ch/entscheid/bger_8C_361_2024</w:t>
      </w:r>
    </w:p>
    <w:p>
      <w:r>
        <w:t>FR: TF 8C_361/2024 du 2 octobre 2024</w:t>
      </w:r>
    </w:p>
    <w:p>
      <w:r>
        <w:t>IT: TF 8C_361/2024 del 2 ottobre 2024</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2.2</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w:t>
      </w:r>
    </w:p>
    <w:p>
      <w:r>
        <w:t>L'arrêt attaqué repose sur la loi [du canton de Genève] sur l'insertion et l'aide sociale individuelle du 22 mars 2007 (LIASI; RS/GE J 4 04) et son règlement d'exécution du 25 juillet 2007 (RIASI; RS/GE J 4 04.01).</w:t>
      </w:r>
    </w:p>
    <w:p>
      <w:r>
        <w:t>En l'espèce, la cour cantonale a circonscrit le litige à la question de la prise en charge par l'hospice des frais du module 1 de l'Institut C.________. Elle a relevé en premier lieu que la LIASI ne prévoit pas un droit à la prise en charge de frais de formation continue et qu'à cet égard, l'art. 25 LIASI laisse un large pouvoir d'appréciation à l'autorité. Elle a exposé en outre que la participation aux frais d'une formation continue est subordonnée à l'exigence que celle-ci s'inscrive dans un projet de réinsertion professionnelle (art. 9 al. 17 RIASI). Or, la recourante n'avait pas présenté un tel projet, lequel devait être d'autant plus circonstancié qu'elle se trouvait à quelques années seulement de la retraite. Enfin, il n'était pas possible de suivre le seul module 1 de la formation demandée. Dans ces conditions, la cour cantonale a jugé que l'intimé était fondé à refuser à la recourante son soutien financier aux cours proposés par l'Institut C.________.</w:t>
      </w:r>
    </w:p>
    <w:p>
      <w:r>
        <w:rPr>
          <w:b/>
        </w:rPr>
        <w:t>E. 4</w:t>
      </w:r>
    </w:p>
    <w:p>
      <w:r>
        <w:t>En l'occurrence, la recourante consacre l'essentiel de son écriture à mettre en cause le système des prestations d'aide financière de la LIASI et à critiquer le manque d'appui des autorités en faveur de son projet professionnel en matière de droits des personnes handicapées. En tant que la recourante ne s'attache aucunement à démontrer en quoi la cour cantonale aurait fait une application arbitraire du droit cantonal ou violé d'autres garanties de la Constitution, son argumentation n'est pas topique, étant souligné que l'énumération de dispositions constitutionnelles ou conventionnelles ne constitue pas une motivation conforme aux exigences posées par l' art. 106 al. 2 LTF , comme cela lui avait déjà été précisé dans le cadre d'une procédure précédente rendue à son égard (consid. 3 de l'arrêt 8C_306/2022 du 13 septembre 2022). Il s'ensuit que son recours n'est pas recevable.</w:t>
      </w:r>
    </w:p>
    <w:p>
      <w:r>
        <w:rPr>
          <w:b/>
        </w:rPr>
        <w:t>E. 5</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