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8C_359/2012 vom 20. Juli 2012</w:t>
      </w:r>
    </w:p>
    <w:p>
      <w:r>
        <w:t>Bundesgericht, 2012-07-20, DE</w:t>
      </w:r>
    </w:p>
    <w:p>
      <w:r>
        <w:rPr>
          <w:b/>
        </w:rPr>
        <w:t xml:space="preserve">Quelle: </w:t>
      </w:r>
      <w:r>
        <w:t>https://mcp.opencaselaw.ch/entscheid/bger_8C_359_2012</w:t>
      </w:r>
    </w:p>
    <w:p>
      <w:r>
        <w:t>FR: TF 8C_359/2012 du 20 juillet 2012</w:t>
      </w:r>
    </w:p>
    <w:p>
      <w:r>
        <w:t>IT: TF 8C_359/2012 del 20 luglio 2012</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die Leistungsvoraussetzungen des natürlichen ( BGE 129 V 177 E. 3.1 S. 181 mit Hinweisen) und des adäquaten Kausalzusammenhangs ( BGE 129 V 177 E. 3.2 S. 181 mit Hinweis), insbesondere bei psychischen Fehlentwicklungen nach Unfällen ( BGE 115 V 133 ), sowie die Anforderungen an einen ärztlichen Bericht ( BGE 134 V 231 E. 5.1 S. 232; 125 V 351 E. 3a S. 352) zutreffend dargelegt. Darauf wird verwiesen.</w:t>
      </w:r>
    </w:p>
    <w:p>
      <w:r>
        <w:rPr>
          <w:b/>
        </w:rPr>
        <w:t>E. 3</w:t>
      </w:r>
    </w:p>
    <w:p>
      <w:r>
        <w:t>Streitig und zu prüfen ist die Höhe der zugesprochenen Invalidenrente; die Höhe der Integritätsentschädigung ist vor Bundesgericht hingegen nicht mehr streitig.</w:t>
      </w:r>
    </w:p>
    <w:p>
      <w:r>
        <w:rPr>
          <w:b/>
        </w:rPr>
        <w:t>E. 4</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8C_1007/2010 vom 9. Mai 2011 E. 2 mit Hinweisen).</w:t>
      </w:r>
    </w:p>
    <w:p>
      <w:r>
        <w:t>Sowohl beim Bericht des PD Dr. med. S.________, Facharzt für orthopädische Chirurgie, vom 11. April 2012 als auch beim Bericht des Dr. med. A.________, Leitender Arzt Schulterchirurgie, Chefarztstellvertreter, Klinik für orthopädische Chirurgie und Traumatologie des Bewegungsapparates, Spital X.________, vom 3. April 2012 handelt es sich um unzulässige Noven. Denn die Frage der zumutbaren Arbeitsfähigkeit und deren Beurteilung gestützt auf die kreisärztliche Einschätzung war schon im Rahmen des vorinstanzlichen und Einspracheverfahrens strittig, so dass nicht erst der kantonale Entscheid Anlass für das Einreichen einer weiteren Stellungnahme des PD Dr. med. S.________ zu dieser Frage gab. Beim Bericht des Dr. med. A.________ handelt es sich um ein echtes Novum, weil er nach dem hier für den massgeblichen Sachverhalt limitierenden Zeitpunkt (Einspracheentscheid vom 17. Juni 2011) datiert. Auf diese beiden Berichte ist somit im Folgenden nicht weiter einzugehen.</w:t>
      </w:r>
    </w:p>
    <w:p>
      <w:r>
        <w:rPr>
          <w:b/>
        </w:rPr>
        <w:t>E. 5</w:t>
      </w:r>
    </w:p>
    <w:p>
      <w:r>
        <w:t>Der Arzt hat sich nur zum medizinischen Sachverhalt, insbesondere zu den in Anbetracht der gegebenen gesundheitlichen Einschränkung noch möglichen Tätigkeiten zu äussern ( BGE 132 V 93 E. 4 S. 99 mit Hinweisen). Es steht ihm jedoch nicht an, die Höhe der Erwerbsunfähigkeit zu beurteilen, da diese von weiteren, nicht medizinischen und damit nicht vom Arzt zu beantwortenden Faktoren abhängt. Soweit sich ein Arzt (oder ein anderer Sachverständiger) nicht an die ihm zukommende Aufgabe resp. an die gestellten Fragen hält, sondern die Rechtsfolgen vorwegnimmt, ist dies im Rahmen der Beweiswürdigung zu berücksichtigen (vgl. dazu etwa Urteil 8C_648/2011 vom 19. Dezember 2011 E. 3 mit Hinweis auf AHI2000 S. 149 E. 2c).</w:t>
      </w:r>
    </w:p>
    <w:p>
      <w:r>
        <w:t>Soweit PD Dr. med. S.________ in seinem Bericht vom 17. Juni 2010 festhält, die Invalidenrente bei einer Erwerbsunfähigkeit von 23 % sei zu tief, äussert er sich zu einer Frage, die nicht in seinen Aufgabenbereich fällt. Zudem begründet er auch nicht, weshalb nach seiner Ansicht die zumutbare Arbeitsfähigkeit tiefer sei, und setzt sich folglich mit den kreisärztlichen Berichten vom 23. März und 30. April 2010 nicht auseinander. Damit vermögen seine Aussagen die einlässlich begründete und nachvollziehbare Einschätzung des Kreisarztes, Facharzt für Chirurgie, nicht in Zweifel zu ziehen, so dass die Vorinstanz zu Recht auf dessen Berichte abgestellt und der Invaliditätsermittlung eine zumutbare volle Arbeitsfähigkeit in einer angepassten Tätigkeit zugrunde gelegt hat.</w:t>
      </w:r>
    </w:p>
    <w:p>
      <w:r>
        <w:rPr>
          <w:b/>
        </w:rPr>
        <w:t>E. 6</w:t>
      </w:r>
    </w:p>
    <w:p>
      <w:r>
        <w:t>Die Vorinstanz hat in Übereinstimmung mit der Rechtsprechung die Adäquanz der psychischen Beschwerden nach der Praxis von BGE 115 V 133 geprüft, was von der Versicherten nicht gerügt wird. Damit sind für die Beurteilung der massgeblichen Kriterien die psychischen Beschwerden und ihre Auswirkungen nicht zu berücksichtigen. Ebenfalls ist unbestritten, dass das Ereignis vom 13. März 2007 als mittelschwer an der Grenze zu den leichten Fällen zu qualifizieren ist. Die Versicherte macht jedoch geltend, entgegen der Vorinstanz sei auch das Kriterium des schwierigen Heilungsverlaufs zu bejahen, so dass vier der sieben Kriterien erfüllt und die Voraussetzungen der Adäquanz gegeben seien.</w:t>
      </w:r>
    </w:p>
    <w:p>
      <w:r>
        <w:t>Dieser Ansicht kann nicht gefolgt werden: Wie das kantonale Gericht zutreffend anführt, reicht es für die Bejahung eines schwierigen Heilungsverlaufs nicht aus, dass sich dieser verzögert, sondern es bedarf zusätzlicher, die Heilung beeinträchtigender Gründe. Ebenso wenig ist infolge anhaltender erheblicher Beschwerden, fortgesetzter ärztlicher Behandlung oder fehlender Beschwerdefreiheit das Kriterium zu bejahen, da diese Umstände beim jeweilig spezifischen Kriterium in Betracht fallen und nicht zweimal berücksichtigt werden (vgl. dazu etwa Urteil 8C_626/2009 vom 9. November 2009 E. 4.3). So hat das Bundesgericht auch bei unbestritten protrahiertem Heilungsverlauf das Kriterium verneint (vgl. Urteil 8C_402/2011 vom 10. Februar 2012 E. A. und 5.4). Entgegen der Ansicht der Versicherten sind hier keine besonderen, die Heilung beeinträchtigende Gründe gegeben. Denn einerseits werden im Rahmen der Psycho-Praxis nur somatische Beschwerden bei der Beurteilung der Kriterien berücksichtigt, weshalb die angeführte neu hinzugekommene Angststörung ausser Betracht fällt; andererseits handelt es sich bei den geltend gemachten Komplikationen im Rahmen der Schulterbeschwerden nicht um derart aussergewöhnliche Folgen, als dass sie zur Bejahung des Kriteriums führen würden. Damit hat es bei der vorinstanzlichen Bejahung von maximal drei Kriterien sein Bewenden. Vorinstanz und SUVA haben demnach zu Recht den adäquaten Kausalzusammenhang verneint, da für dessen Bejahung bei einem mittelschweren Unfall im Grenzbereich zu den leichten Fällen vier Kriterien erfüllt sein müssten (vgl. Urteil 8C_605/2010 vom 9. November 2010 E. 6.2 mit Hinweis auf SVR 2010 UV Nr. 25 S. 100 E. 4.5 [8C_897/2009]).</w:t>
      </w:r>
    </w:p>
    <w:p>
      <w:r>
        <w:rPr>
          <w:b/>
        </w:rPr>
        <w:t>E. 7</w:t>
      </w:r>
    </w:p>
    <w:p>
      <w:r>
        <w:t>Dem Verfahrensausgang entsprechend sind die Gerichtskosten von der Beschwerdeführerin als unterliegender Partei zu tragen ( Art. 66 Abs. 1 BGG ). Ihr kann indessen die unentgeltliche Rechtspflege gewährt werden ( Art. 64 BGG ), weil die Bedürftigkeit aktenkundig ist, die Beschwerde nicht als aussichtslos zu bezeichnen und die anwaltliche Vertretung doch geboten war (vgl. BGE 125 V 201 E. 4a S. 202 und 371 E. 5b S. 372). Es ist indessen auf Art. 64 Abs. 4 BGG hinzuweisen, wonach der Gerichtskasse Ersatz zu leisten sein wird, wenn dies später möglich sein sollte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