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358/2009 vom 8. März 2010</w:t>
      </w:r>
    </w:p>
    <w:p>
      <w:r>
        <w:t>Bundesgericht, 2010-03-08, FR</w:t>
      </w:r>
    </w:p>
    <w:p>
      <w:r>
        <w:rPr>
          <w:b/>
        </w:rPr>
        <w:t xml:space="preserve">Quelle: </w:t>
      </w:r>
      <w:r>
        <w:t>https://mcp.opencaselaw.ch/entscheid/bger_8C_358_2009</w:t>
      </w:r>
    </w:p>
    <w:p>
      <w:r>
        <w:t>FR: TF 8C 358/2009 du 8 mars 2010</w:t>
      </w:r>
    </w:p>
    <w:p>
      <w:r>
        <w:t>IT: TF 8C 358/2009 del 8 marzo 2010</w:t>
      </w:r>
    </w:p>
    <w:p>
      <w:pPr>
        <w:pStyle w:val="Heading2"/>
      </w:pPr>
      <w:r>
        <w:t>Regeste</w:t>
      </w:r>
    </w:p>
    <w:p>
      <w:r>
        <w:t>Droit de la fonction publique (résiliation dans le délai conventionnel) | Fonction publique</w:t>
      </w:r>
    </w:p>
    <w:p>
      <w:pPr>
        <w:pStyle w:val="Heading2"/>
      </w:pPr>
      <w:r>
        <w:t>Erwägungen</w:t>
      </w:r>
    </w:p>
    <w:p>
      <w:r>
        <w:rPr>
          <w:b/>
        </w:rPr>
        <w:t>E. 1</w:t>
      </w:r>
    </w:p>
    <w:p>
      <w:r>
        <w:t>L'intimé conteste la recevabilité du recours dans la mesure où il tend à l'annulation de la décision incidente du 21 juillet 2008 par laquelle le Tribunal administratif fédéral a rejeté la requête tendant au rétablissement de l'effet suspensif au recours. Ce moyen est bien fondé. Selon l' art. 93 al. 3 LTF , si le recours n'est pas recevable en vertu de l' art. 93 al. 1 et 2 LTF ou qu'il n'a pas été utilisé, les décisions préjudicielles et incidentes - autres que celles sur la compétence ou la composition de l'autorité visées à l' art. 92 LTF (cf. BERNARD CORBOZ, in: Commentaire de la LTF, Berne 2009, n. 3 et 10 ad art. 93) - peuvent être attaquées par un recours contre la décision finale dans la mesure où elles influent sur le contenu de celle-ci. Une décision portant sur la restitution de l'effet suspensif au recours concerne une mesure provisionnelle prononcée pour la durée de la procédure. Elle ne déploie dès lors plus aucun effet au moment de la décision finale, de sorte qu'un recours n'est pas admissible (cf. CORBOZ, op. cit., n. 42 ad art. 93). Ainsi, le recours est irrecevable dans la mesure où il tend à l'annulation de la décision incidente du 21 juillet 2008.</w:t>
      </w:r>
    </w:p>
    <w:p>
      <w:r>
        <w:rPr>
          <w:b/>
        </w:rPr>
        <w:t>E. 2.1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l'employé ne conclut pas au versement d'une somme d'argent, mais demande - comme en l'occurrence - à être réintégré dans son emploi, est une contestation pécuniaire (arrêts 8C_102/2009 du 26 octobre 2009 consid. 2.1; 1C_547/2008 du 23 février 2009 consid. 2.1; 1C_116/2007 du 24 septembre 2007 consid. 2). Le motif d'exclusion de l' art. 83 let . g LTF n'entre ainsi pas en considération.</w:t>
      </w:r>
    </w:p>
    <w:p>
      <w:r>
        <w:rPr>
          <w:b/>
        </w:rPr>
        <w:t>E. 2.2</w:t>
      </w:r>
    </w:p>
    <w:p>
      <w:r>
        <w:t>Pour que le recours soit recevable, il faut encore, en principe, que la valeur litigieuse minimale de 15'000 fr. soit atteinte ( art. 85 al. 1 let. b LTF ). Tel est le cas en l'espèce, du moment que la contestation porte sur le salaire de plusieurs mois, voire de plusieurs années (cf. arrêts 8C_102/2009 du 26 octobre 2009 consid. 2.2; 8C_170/2009 du 25 août 2009 consid. 1.2).</w:t>
      </w:r>
    </w:p>
    <w:p>
      <w:r>
        <w:rPr>
          <w:b/>
        </w:rPr>
        <w:t>E. 2.3</w:t>
      </w:r>
    </w:p>
    <w:p>
      <w:r>
        <w:t>Les autres conditions de recevabilité du recours en matière de droit public étant également réalisées, sans prêter à discussion, il y a lieu d'entrer en matière sur le recours dans la mesure où il est dirigé contre le jugement final du 16 mars 2009.</w:t>
      </w:r>
    </w:p>
    <w:p>
      <w:r>
        <w:rPr>
          <w:b/>
        </w:rPr>
        <w:t>E. 3.1</w:t>
      </w:r>
    </w:p>
    <w:p>
      <w:r>
        <w:t>Dans la première partie de son écriture, la recourante conteste certains faits retenus par la juridiction précédente et prétend qu'il faut les compléter en présentant son propre exposé des événements. D'une part, elle reproche notamment au Tribunal administratif fédéral d'avoir constaté à tort qu'un collaborateur procède en moyenne à quarante annulations de dossiers par heure et qu'elle disposait d'un nombre suffisant de dossiers pour atteindre son objectif durant la semaine du 1er au 5 octobre 2007. D'autre part, elle fait grief à la juridiction précédente de n'avoir pas retenu le fait qu'elle était soumise à des exigences disproportionnées par rapport à ses collègues de travail, que les dossiers qui lui étaient confiés étaient incomplets et que ses erreurs étaient minimes, sans portée et excusables.</w:t>
      </w:r>
    </w:p>
    <w:p>
      <w:r>
        <w:rPr>
          <w:b/>
        </w:rPr>
        <w:t>E. 3.2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 En l'espèce, le recours ne comporte toutefois aucune démonstration du caractère arbitraire de l'état de fait du jugement attaqué. En effet, la recourante n'expose pas en quoi l'appréciation des preuves par les premiers juges est manifestement insoutenable. Son argumentation tend plutôt à substituer sa propre appréciation à celle de l'autorité précédente. En outre, les éléments, dont elle affirme que celle-ci n'a pas tenu compte, n'apparaissent pas avoir été écartés sans raison sérieuse, pour autant qu'ils aient été propres à modifier le jugement attaqué. Cela étant, il n'y a pas lieu de s'écarter des faits établis dans ledit jugement.</w:t>
      </w:r>
    </w:p>
    <w:p>
      <w:r>
        <w:rPr>
          <w:b/>
        </w:rPr>
        <w:t>E. 4.1</w:t>
      </w:r>
    </w:p>
    <w:p>
      <w:r>
        <w:t>L'employeur a invoqué deux motifs de résiliation ordinaire, à savoir des manquements répétés ou persistants dans les prestations, malgré un avertissement écrit ( art. 12 al. 6 let. b LPers ), ainsi que des aptitudes ou capacités insuffisantes pour effectuer le travail convenu dans le contrat ( art. 12 al. 6 let . c LPers). En outre, il a considéré que la résiliation des rapports de travail était due à une faute de l'employée au sens de l' art. 31 al. 1 let. a OPers .</w:t>
      </w:r>
    </w:p>
    <w:p>
      <w:r>
        <w:rPr>
          <w:b/>
        </w:rPr>
        <w:t>E. 4.2</w:t>
      </w:r>
    </w:p>
    <w:p>
      <w:r>
        <w:t>La recourante soutient en substance qu'il n'y a pas eu de manquements répétés ou persistants dans les prestations, justifiant une résiliation ordinaire selon l' art. 12 al. 6 let. b LPers .</w:t>
      </w:r>
    </w:p>
    <w:p>
      <w:r>
        <w:rPr>
          <w:b/>
        </w:rPr>
        <w:t>E. 4.2.1</w:t>
      </w:r>
    </w:p>
    <w:p>
      <w:r>
        <w:t>Il appartient en premier lieu aux supérieurs hiérarchiques, ainsi qu'à l'autorité compétente de qualifier les prestations de l'employé, du moment qu'ils peuvent le mieux évaluer le travail quotidien et apprécier le comportement de l'intéressé (cf. ATF 118 Ib 164 consid. 4b p. 166 s.). Le Tribunal fédéral n'examine cette qualification que si les éléments invoqués à l'appui de la résiliation des rapports de service ne sont pas établis ou que les constatations y relatives sont manifestement insoutenables ou contraires aux pièces versées au dossier (arrêt 2A.761/2006 du 19 avril 2007 consid. 3.3.4).</w:t>
      </w:r>
    </w:p>
    <w:p>
      <w:r>
        <w:rPr>
          <w:b/>
        </w:rPr>
        <w:t>E. 4.2.2</w:t>
      </w:r>
    </w:p>
    <w:p>
      <w:r>
        <w:t>En l'espèce, les premiers juges ont constaté que la recourante s'était vu fixer par ses supérieurs hiérarchiques des objectifs hebdomadaires sur les plans quantitatif et qualitatif et ils ont examiné les prestations accomplies par l'intéressée au cours de dix semaines de travail. Sur le vu des constatations de l'autorité précédente, les objectifs fixés ont été atteints une fois, quasiment atteints deux fois, partiellement atteints deux fois également et pas atteints cinq fois. Cela étant, même si l'on n'est pas dans une situation où, comme l'a admis la juridiction précédente, les objectifs n'ont jamais été atteints, les manquements dans les prestations apparaissent cependant de manière répétée et persistante. En effet, si l'on assiste à une relative amélioration de ces prestations vers le milieu de la période d'évaluation (semaine du 10 au 14 septembre 2007: objectifs atteints; semaine du 17 au 21 septembre 2007: objectifs quasiment atteints), les qualifications font état d'objectifs non atteints durant toute la période qui a suivi cette amélioration des performances de travail. Dès lors, on ne saurait nier l'existence en l'occurrence de manquements répétés et persistants dans les prestations au sens de l' art 12 al. 6 let. b LPers .</w:t>
      </w:r>
    </w:p>
    <w:p>
      <w:r>
        <w:rPr>
          <w:b/>
        </w:rPr>
        <w:t>E. 4.3</w:t>
      </w:r>
    </w:p>
    <w:p>
      <w:r>
        <w:t>La recourante soutient en outre que la résiliation est contraire au droit, dès lors qu'elle n'a pas reçu un avertissement écrit au sens de l' art. 12 al. 6 let. b LPers , ce qui supposait selon elle une décision formelle, c'est-à-dire une décision désignée comme telle et susceptible de recours.</w:t>
      </w:r>
    </w:p>
    <w:p>
      <w:r>
        <w:rPr>
          <w:b/>
        </w:rPr>
        <w:t>E. 4.3.1</w:t>
      </w:r>
    </w:p>
    <w:p>
      <w:r>
        <w:t>Selon la jurisprudence, l'avertissement prévu à l' art. 12 al. 6 let. b LPers ne constitue pas une décision sujette à recours (décision de la Commission de recours du Tribunal fédéral du 1er juillet 2005, in JAAC 69/2005 no 122 p. 1471, consid. 3; décision de la Commission fédérale de recours en matière de personnel fédéral du 30 septembre 2004, in JAAC 69/2005 no 33 p. 351). En dehors de la forme écrite, la LPers ne soumet l'avertissement prévu à l'art. 12 al. 6 let. b à aucune condition formelle. En particulier, elle ne contient pas de directives au sujet du contenu de l'avertissement. On peut toutefois déduire des principes de la bonne foi et de l'interdiction de l'arbitraire ( art. 9 Cst. ) que l'avertissement doit être reconnaissable en tant que tel et qu'il doit permettre à l'intéressé de savoir clairement quels sont les manquements reprochés et quelles sont les exigences auxquelles il aura à satisfaire à l'avenir (cf. HARRY NÖTZLI, Die Beendigung von Arbeitsverhältnissen im Bundespersonalrecht, Berne 2005, n. 197 p. 124). Les exigences relatives au contenu de l'avertissement vont de pair avec les règles posées par la jurisprudence qui définit le contenu et la portée des avertissements qui doivent nécessairement précéder un licenciement immédiat au sens de l' art. 337 CO , lorsque le manquement imputé au travailleur n'est pas assez grave pour justifier un tel licenciement sans préavis (arrêt 1C_277/2007 du 30 juin 2008 consid. 6.2). Sur ce point, le Tribunal fédéral considère qu'étant donné la diversité des situations envisageables, il n'existe pas de critère absolu au sujet du contenu de l'avertissement. Le juge qui examine la validité d'un licenciement immédiat doit se prononcer à la lumière de toutes les circonstances particulières. La jurisprudence ne saurait dès lors poser des règles rigides sur le nombre et le contenu des avertissements. Les juridictions cantonales disposent à cet égard d'un large pouvoir d'appréciation ( ATF 127 III 153 consid. 1c p. 157).</w:t>
      </w:r>
    </w:p>
    <w:p>
      <w:r>
        <w:rPr>
          <w:b/>
        </w:rPr>
        <w:t>E. 4.3.2</w:t>
      </w:r>
    </w:p>
    <w:p>
      <w:r>
        <w:t>Selon les constatations des premiers juges, les prestations de l'employée ont été évaluées avec la note C (« ne remplit pas les exigences et les objectifs convenus ») lors d'un entretien d'évaluation des prestations/de convention d'objectifs qui a eu lieu le 15 octobre 2007. Cette qualification a été notifiée à l'intéressée le 7 novembre suivant. En outre, celle-ci s'est vu impartir par écrit à deux reprises (le 17 et le 27 septembre 2007) un ultime délai (à la fin du mois de septembre, respectivement du mois d'octobre 2007) pour s'améliorer et fournir un travail correspondant aux attentes, ainsi que pour atteindre les objectifs définis chaque semaine. En l'occurrence, la qualification du 7 novembre 2007 et les injonctions des 17 et 27 septembre 2007 permettaient clairement à l'employée de savoir quels étaient les manquements reprochés et les exigences auxquelles elle aurait à satisfaire à l'avenir. En outre, les injonctions constituaient indéniablement des mises en demeure reconnaissables en tant que telles. D'ailleurs, la recourante affirme que la qualification du 7 novembre 2007 n'a servi qu'à lui faire connaître la volonté de l'employeur de mettre un terme aux rapports de travail. Le moyen de la recourante tiré de l'absence d'avertissement écrit satisfaisant aux exigences de l' art. 12 al. 6 let. b LPers se révèle ainsi mal fondé.</w:t>
      </w:r>
    </w:p>
    <w:p>
      <w:r>
        <w:rPr>
          <w:b/>
        </w:rPr>
        <w:t>E. 5</w:t>
      </w:r>
    </w:p>
    <w:p>
      <w:r>
        <w:t>Par un autre moyen, la recourante allègue avoir été victime d'un harcèlement psychologique de la part de l'employeur.</w:t>
      </w:r>
    </w:p>
    <w:p>
      <w:r>
        <w:rPr>
          <w:b/>
        </w:rPr>
        <w:t>E. 5.1</w:t>
      </w:r>
    </w:p>
    <w:p>
      <w:r>
        <w:t>Aux termes de l' art. 4 al. 2 let . g LPers, l'employeur met en oeuvre les mesures propres à assurer la protection de la personnalité et de la santé ainsi que la sécurité au travail de son personnel. Cette disposition prohibe les actes de harcèlement psychologique. Selon la définition donnée par la jurisprudence, qui vaut pour les relations de travail fondées tant sur le droit privé que sur le droit public (arrêts 4A_128/2007 du 9 juillet 2007 consid. 2.1; 2A.584/2002 du 25 janvier 2006 consid. 3.5.2.3),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 4A_128/2007 du 9 juillet 2007 consid. 2.1; 4C.404/2005 du 10 mars 2006 consid. 3.2; 4C.109/2005 du 31 mai 2005 consid. 4; 4C.276/2004 du 12 octobre 2004 consid. 4.1; 4C.343/2003 du 13 octobre 2004 consid. 3.1).</w:t>
      </w:r>
    </w:p>
    <w:p>
      <w:r>
        <w:rPr>
          <w:b/>
        </w:rPr>
        <w:t>E. 5.2</w:t>
      </w:r>
    </w:p>
    <w:p>
      <w:r>
        <w:t>Selon la juridiction précédente, le dossier ne contient aucun élément de nature à établir que l'employeur avait pour but de déstabiliser l'employée et de l'inciter à quitter le service. En particulier, l'employeur n'a pas tenu des propos hostiles envers celle-ci. Quant aux reproches adressés à l'intéressée immédiatement après la confirmation sans réserve de l'engagement au terme du temps d'essai, ils ne constituent pas une circonstance de nature à faire admettre l'existence d'un harcèlement psychologique. De son côté, la recourante allègue un certains nombre de faits justifiant, selon elle, le grief de harcèlement psychologique. En particulier, elle relève que les premiers reproches lui ont été adressés immédiatement après la fin de la période d'essai, alors que son travail n'avait suscité aucune remarque négative pendant cette période et que l'évaluation qui y mettait fin était bonne.</w:t>
      </w:r>
    </w:p>
    <w:p>
      <w:r>
        <w:rPr>
          <w:b/>
        </w:rPr>
        <w:t>E. 5.3</w:t>
      </w:r>
    </w:p>
    <w:p>
      <w:r>
        <w:t>En l'occurrence, il n'y a pas lieu d'examiner ce grief dans la mesure où l'appréciation des faits proposée par l'intéressée s'écarte des faits établis par la juridiction précédente, qui lient le Tribunal fédéral (cf. consid. 3.2). Quant aux reproches adressés par l'employeur immédiatement après la confirmation de l'engagement à l'issue du temps d'essai, ils ne permettent pas non plus d'accueillir le grief invoqué. Certes, on peut se demander si, en exprimant leurs premiers reproches immédiatement après la fin de la période d'essai - laquelle, au demeurant, avait été qualifiée de réussie -, les supérieurs hiérarchiques de l'intéressée n'ont pas manqué aux devoirs qui leur incombaient. Quoi qu'il en soit, à supposer qu'il constitue un indice d'atteinte aux droits de la personnalité, un tel manquement ne saurait toutefois être assimilé à un acte de mobbing. Par définition, en effet, le harcèlement psychologique est constitué par un enchaînement de propos et/ou d'agissements hostiles, répétés de manière fréquente et durable. A contrario, le mobbing ne saurait résulter d'un seul acte hostile ou de quelques comportements isolés, même si ces derniers causent un préjudice ou constituent une véritable atteinte à la personnalité du travailleur. Ainsi, il n'est pas arbitraire de considérer qu'un seul acte hostile, ni même deux, ne suffisent pas à former un tel enchaînement, partant un harcèlement psychologique (arrêt 2P.207/2002 du 20 juin 2003 consid. 4.3.2; cf. aussi Jean-Philippe Dunand, Le harcèlement psychologique (mobbing) en droit privé suisse du travail, Recueil de jurisprudence neuchâteloise (RJN) 2006 p. 21 s.). Le grief de harcèlement psychologique se révèle ainsi mal fondé.</w:t>
      </w:r>
    </w:p>
    <w:p>
      <w:r>
        <w:rPr>
          <w:b/>
        </w:rPr>
        <w:t>E. 6</w:t>
      </w:r>
    </w:p>
    <w:p>
      <w:r>
        <w:t>Invoquant l' art. 19 al. 1 LPers , la recourante reproche à l'employeur d'avoir violé le principe de proportionnalité en résiliant le contrat de travail sans lui avoir, au préalable, offert la possibilité de la replacer dans une autre activité, ni proposé une formation complémentaire de manière qu'elle fût en mesure de satisfaire aux exigences requises.</w:t>
      </w:r>
    </w:p>
    <w:p>
      <w:r>
        <w:rPr>
          <w:b/>
        </w:rPr>
        <w:t>E. 6.1</w:t>
      </w:r>
    </w:p>
    <w:p>
      <w:r>
        <w:t>Aux termes de l' art. 99 LTF , aucun fait nouveau ni preuve nouvelle ne peut être présenté à moins de résulter de la décision de l'autorité précédente (al. 1); toute conclusion nouvelle est irrecevable (al. 2). Dans la mesure où cette disposition légale ne les interdit pas, on doit déduire que les moyens de droit nouveaux sont en principe admissibles. Etant donné l'interdiction des faits ou moyens de preuve nouveaux contenue à l' art. 99 al. 1 LTF , il n'est toutefois pas possible d'invoquer des nouveaux moyens de droit qui déduisent des conséquences juridiques de faits nouveaux, c'est-à-dire des faits qui n'ont pas été constatés par la juridiction précédente (cf. BERNARD CORBOZ, Commentaire de la LTF, n. 10 et 45 ad art. 99; ATF 134 III 643 consid. 5.3.2 p. 651; 129 III 135 consid. 2.3.1 p. 144; 126 III 187 consid. 2a p. 188).</w:t>
      </w:r>
    </w:p>
    <w:p>
      <w:r>
        <w:rPr>
          <w:b/>
        </w:rPr>
        <w:t>E. 6.2</w:t>
      </w:r>
    </w:p>
    <w:p>
      <w:r>
        <w:t>La recourante n'a pas invoqué cet argument dans son recours devant le Tribunal administratif fédéral. Certes, elle a conclu (subsidiairement) à ce que l'employeur lui propose un autre travail pouvant raisonnablement être exigé d'elle. Cependant, cette conclusion ne reposait pas sur une motivation tirée de l' art. 19 al. 1 LPers , mais uniquement sur l'argument que la résiliation des rapports de service par l'employeur n'était pas valable. Aussi, le jugement attaqué ne contient-il aucune constatation de fait au sujet de tentatives éventuelles de l'employeur de replacer l'intéressée dans une autre activité ou de lui proposer une formation complémentaire. Dès lors, même en admettant que la conclusion déduite en procédure fédérale de cette argumentation n'est en soi pas entièrement nouvelle, il apparaît que celle-ci constitue un moyen de droit nouveau inadmissible au sens de l' art. 99 al. 1 LTF , du moment qu'elle tire des conséquences juridiques de faits nouveaux, c'est-à-dire des faits qui n'ont pas été constatés par la juridiction précédente. Cela étant, ce nouveau moyen de droit n'est pas admissible en procédure fédérale.</w:t>
      </w:r>
    </w:p>
    <w:p>
      <w:r>
        <w:rPr>
          <w:b/>
        </w:rPr>
        <w:t>E. 7</w:t>
      </w:r>
    </w:p>
    <w:p>
      <w:r>
        <w:t>Vu ce qui précède, les conditions de l' art. 12 al. 6 let. b LPers sont réalisées. Cela suffit pour justifier la résiliation ordinaire par l'employeur des rapports de travail sans qu'il soit nécessaire d'examiner si les conditions de l' art. 12 al. 6 let . c sont également remplies. Le jugement final du 16 mars 2009 n'est dès lors pas critiquable et le recours se révèle mal fondé dans la mesure où il est dirigé contre ce prononcé.</w:t>
      </w:r>
    </w:p>
    <w:p>
      <w:r>
        <w:rPr>
          <w:b/>
        </w:rPr>
        <w:t>E. 8</w:t>
      </w:r>
    </w:p>
    <w:p>
      <w:r>
        <w:t>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