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8C_357/2022 vom 10. Juni 2022</w:t>
      </w:r>
    </w:p>
    <w:p>
      <w:r>
        <w:t>Bundesgericht, 2022-06-10, DE</w:t>
      </w:r>
    </w:p>
    <w:p>
      <w:r>
        <w:rPr>
          <w:b/>
        </w:rPr>
        <w:t xml:space="preserve">Quelle: </w:t>
      </w:r>
      <w:r>
        <w:t>https://mcp.opencaselaw.ch/entscheid/bger_8C_357_2022</w:t>
      </w:r>
    </w:p>
    <w:p>
      <w:r>
        <w:t>FR: TF 8C_357/2022 du 10 juin 2022</w:t>
      </w:r>
    </w:p>
    <w:p>
      <w:r>
        <w:t>IT: TF 8C_357/2022 del 10 giugno 2022</w:t>
      </w:r>
    </w:p>
    <w:p>
      <w:pPr>
        <w:pStyle w:val="Heading2"/>
      </w:pPr>
      <w:r>
        <w:t>Volltext</w:t>
      </w:r>
    </w:p>
    <w:p>
      <w:r>
        <w:t>Bundesgericht</w:t>
      </w:r>
    </w:p>
    <w:p>
      <w:r>
        <w:t>Tribunal fédéral</w:t>
      </w:r>
    </w:p>
    <w:p>
      <w:r>
        <w:t>Tribunale federale</w:t>
      </w:r>
    </w:p>
    <w:p>
      <w:r>
        <w:t>Tribunal federal</w:t>
      </w:r>
    </w:p>
    <w:p>
      <w:r>
        <w:t>8C_357/2022</w:t>
      </w:r>
    </w:p>
    <w:p>
      <w:r>
        <w:t>Urteil vom 10. Juni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das Urteil des Sozialversicherungsgerichts des Kantons Zürich vom 29. März 2022 (UV.2021.00116).</w:t>
      </w:r>
    </w:p>
    <w:p>
      <w:r>
        <w:t>Nach Einsicht</w:t>
      </w:r>
    </w:p>
    <w:p>
      <w:r>
        <w:t>in die Beschwerde vom 27. Mai 2022 gegen das Urteil des Sozialversicherungsgerichts des Kantons Zürich vom 29. März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Urteils massgeblichen Erwägungen auseinanderzusetzen,</w:t>
      </w:r>
    </w:p>
    <w:p>
      <w:r>
        <w:t>dass die Vorinstanz im angefochten Entscheid ausgeführt hat, weshalb bei einem Rückfall die Beweislast ungeachtet dessen, wie der Grundfall damals von ärztlicher Seite dokumentiert worden ist, bei der versicherten Person liegt,</w:t>
      </w:r>
    </w:p>
    <w:p>
      <w:r>
        <w:t>dass sie alsdann in Würdigung der Beweismittel und der Parteivorbringen zur Überzeugung gelangte, die am 7. April 2020 als Rückfall zum Unfall vom 3. März 2001 gemeldeten Thoraxbeschwerden liessen sich nicht mit überwiegender Wahrscheinlichkeit auf das versicherte Ereignis zurückführen,</w:t>
      </w:r>
    </w:p>
    <w:p>
      <w:r>
        <w:t>dass sich der Beschwerdeführer letztinstanzlich im Wesentlichen darauf beschränkt, das bereits vor dem kantonalen Gericht Vorgetragene zu wiederholen, ohne zugleich aufzuzeigen, inwiefern die in diesem Zusammenhang getroffenen vorinstanzlichen Sachverhaltsfeststellungen unzutreffend im Sinne von Art. 97 Abs. 2 BGG und die darauf beruhenden Erwägungen rechtsfehlerhaft sein sollen,</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wird, womit sich das Gesuch um Befreiung derselben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10. Juni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