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8C_357/2015 vom 2. Dezember 2015</w:t>
      </w:r>
    </w:p>
    <w:p>
      <w:r>
        <w:t>Bundesgericht, 2015-12-02, DE</w:t>
      </w:r>
    </w:p>
    <w:p>
      <w:r>
        <w:rPr>
          <w:b/>
        </w:rPr>
        <w:t xml:space="preserve">Quelle: </w:t>
      </w:r>
      <w:r>
        <w:t>https://mcp.opencaselaw.ch/entscheid/bger_8C_357_2015</w:t>
      </w:r>
    </w:p>
    <w:p>
      <w:r>
        <w:t>FR: TF 8C_357/2015 du 2 décembre 2015</w:t>
      </w:r>
    </w:p>
    <w:p>
      <w:r>
        <w:t>IT: TF 8C_357/2015 del 2 dicembre 2015</w:t>
      </w:r>
    </w:p>
    <w:p>
      <w:pPr>
        <w:pStyle w:val="Heading2"/>
      </w:pPr>
      <w:r>
        <w:t>Erwägungen</w:t>
      </w:r>
    </w:p>
    <w:p>
      <w:r>
        <w:rPr>
          <w:b/>
        </w:rPr>
        <w:t>E. 1</w:t>
      </w:r>
    </w:p>
    <w:p>
      <w:r>
        <w:t>Die beiden Beschwerden betreffen den gleichen kantonalen Gerichtsentscheid vom 7. April 2015, es liegt ihnen derselbe Sachverhalt zugrunde und es stellen sich die gleichen Rechtsfragen, weshalb die beiden Verfahren zu vereinigen und in einem einzigen Urteil zu erledigen sind.</w:t>
      </w:r>
    </w:p>
    <w:p>
      <w:r>
        <w:rPr>
          <w:b/>
        </w:rPr>
        <w:t>E. 2</w:t>
      </w:r>
    </w:p>
    <w:p>
      <w:r>
        <w:t>Das kantonale Gericht hat die Bestimmungen und Grundsätze, welche für die vom Versicherten geltend gemachten Ansprüche massgeblich sind, zutreffend dargelegt. Es wird darauf verwiesen.</w:t>
      </w:r>
    </w:p>
    <w:p>
      <w:r>
        <w:rPr>
          <w:b/>
        </w:rPr>
        <w:t>E. 3</w:t>
      </w:r>
    </w:p>
    <w:p>
      <w:r>
        <w:t>In der Klinik C.________ (Gutachten vom 31. März 2010) wurde der Versicherte orthopädisch (obere und untere Extremitäten je separat) und schmerzmedizinisch-psychosomatisch untersucht. Nach Einschätzung der Gutachter verbleiben nach dem Unfall belastungsabhängige Beschwerden im rechten oberen Sprunggelenk (nach zweigradiger offener, mehretagiger Unterschenkelfraktur) und Beeinträchtigungen zufolge der erlittenen Schulterverletzung (rechts; Reruptur Supraspinatus und Infraspinatus mit beginnender Rotator-Cuff-Arthropathie). Eine leidensangepasste, vorwiegend sitzende Tätigkeit mit lediglich geringer Schulterbelastung sei ihm zuzumuten. Der Versicherte veranlasste in der Folge eine neuropsychologische Abklärung durch Frau Dr. phil. G.________ (Bericht vom 29. Juli 2010) sowie eine orthopädische Untersuchung durch Dr. med. H.________ (Bericht vom 5. September 2011). Nach den Stellungnahmen der Privatgutachter sei der Versicherte wegen kognitiver Defizite zu 30 bis 40 Prozent eingeschränkt. Aus orthopädischer Sicht bestehe selbst in einer optimal angepassten Tätigkeit lediglich noch eine Arbeitsfähigkeit von 15 Prozent. Demgegenüber bescheinigte der behandelnde Arzt Dr. med. I.________, Orthopädie am J.________, am 18. Juli 2011 eine 70-prozentige Arbeitsfähigkeit in einer leidensangepassten Tätigkeit seit dem 19. Oktober 2010. Zu den Ergebnissen der Überwachung liess die AXA ihre beratenden Ärzte Dr. med. K.________, Innere Medizin FMH, sowie Dr. med. L.________, Chirurgie FMH, Stellung nehmen (Berichte vom 22. August 2012 und vom 11. Dezember 2012). Nach Dr. med. K.________ liessen sich aus dem Überwachungsmaterial keine Schlüsse zu allfälligen neurokognitiven Einschränkungen ziehen. Die Arbeitsfähigkeit in einer leidensangepassten Tätigkeit schätzte er auf 70 bis 100 Prozent. Dr. med. L.________ erachtete den Versicherten in einer leidensangepassten Tätigkeit zu 100 Prozent arbeitsfähig, in der Leistungsfähigkeit wegen schmerzhafter Schulterbeweglichkeit zu 10 Prozent eingeschränkt.</w:t>
      </w:r>
    </w:p>
    <w:p>
      <w:r>
        <w:t>Es liegt damit zwar eine Vielzahl von (nicht abschliessend genannten) ärztlichen Stellungnahmen vor, sie erlauben jedoch entgegen der Vorinstanz insgesamt keine schlüssige Beurteilung der Arbeitsfähigkeit. Aus dem Gutachten der Klinik C.________ geht nicht schlüssig hervor, in welchem Umfang der Beschwerdeführer noch arbeitsfähig ist. Die Einschätzung des Dr. med. H.________ ist schwierig nachzuvollziehen, während die Stellungnahmen der beratenden Ärzte der AXA keine hinreichend zuverlässigen Schlüsse aus den Observationsergebnissen zulassen (SVR 2012 UV Nr. 17 S. 63, 8C_434/2011 E. 4.2). Diese Ungereimtheiten in den einzelnen Stellungnahmen sind nicht ohne Weiteres auszuräumen und die Widersprüchlichkeiten in den Arbeitsfähigkeitseinschätzungen nicht zu klären. Indem sich das kantonale Gericht über die Beurteilung des Gesundheitszustandes und die Einschätzung der Arbeitsfähigkeit des vom Unfallversicherer eingeholten Gutachtens ohne weitere Abklärungen hinweggesetzt hat, verletzte es den Untersuchungsgrundsatz und die Beweiswürdigungsregeln. Zur Beurteilung der Herabsetzung der Taggelder ab dem 1. Mai 2011, des Fallabschlusses auf den 31. August 2012, eines allfälligen Rentenanspruchs sowie auch der Integritätseinbusse bedarf es daher weiterer medizinischer Abklärungen zur Arbeitsfähigkeit. Das kantonale Gericht wird ein polydisziplinäres Gutachten einholen und über die Ansprüche des Versicherten neu befinden ( BGE 137 V 210 E. 4.4.1 S. 263 ff.).</w:t>
      </w:r>
    </w:p>
    <w:p>
      <w:r>
        <w:t>Auf die Zulässigkeit der letztinstanzlich neu eingereichten Beweismittel ist bei diesem Ergebnis nicht weiter einzugehen. ( Art. 99 Abs. 1 BGG ).</w:t>
      </w:r>
    </w:p>
    <w:p>
      <w:r>
        <w:rPr>
          <w:b/>
        </w:rPr>
        <w:t>E. 4.1</w:t>
      </w:r>
    </w:p>
    <w:p>
      <w:r>
        <w:t>Das Verfahren ist kostenpflichtig. Entsprechend seinem Ausgang werden beiden Parteien Gerichtskosten auferlegt ( Art. 66 Abs. 1 BGG ). Die AXA hat dem Versicherten eine Parteientschädigung zu bezahlen ( Art. 68 Abs. 1 und 2 BGG ).</w:t>
      </w:r>
    </w:p>
    <w:p>
      <w:r>
        <w:rPr>
          <w:b/>
        </w:rPr>
        <w:t>E. 4.2</w:t>
      </w:r>
    </w:p>
    <w:p>
      <w:r>
        <w:t>Über die beantragte unentgeltliche Rechtspflege im Einspracheverfahren sowie im Verfahren vor dem kantonalen Versicherungsgericht wird die Vorinstanz ebenfalls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