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8C_355/2023 vom 6. Juni 2023</w:t>
      </w:r>
    </w:p>
    <w:p>
      <w:r>
        <w:t>Bundesgericht, 2023-06-06, DE</w:t>
      </w:r>
    </w:p>
    <w:p>
      <w:r>
        <w:rPr>
          <w:b/>
        </w:rPr>
        <w:t xml:space="preserve">Quelle: </w:t>
      </w:r>
      <w:r>
        <w:t>https://mcp.opencaselaw.ch/entscheid/bger_8C_355_2023</w:t>
      </w:r>
    </w:p>
    <w:p>
      <w:r>
        <w:t>FR: TF 8C_355/2023 du 6 juin 2023</w:t>
      </w:r>
    </w:p>
    <w:p>
      <w:r>
        <w:t>IT: TF 8C_355/2023 del 6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im angefochtenen Urteil vom 31. März 2023 die von der Beschwerdegegnerin gestützt auf Art. 30 Abs. 1 lit. a und Abs. 3 AVIG in Verbindung mit Art. 44 Abs. 1 lit. a AVIV vorgenommene Einstellung in der Anspruchsberechtigung auf Arbeitslosentaggelder von 21 Tagen. Dabei setzte sie sich einlässlich mit den Parteivorbringen auseinander und legte in Würdigung der Akten ausführlich dar, weshalb von einer selbstverschuldeten Arbeitslosigkeit auszugehen sei, welche eine Einstellung in diesem Umfang erlaube.</w:t>
      </w:r>
    </w:p>
    <w:p>
      <w:r>
        <w:rPr>
          <w:b/>
        </w:rPr>
        <w:t>E. 3</w:t>
      </w:r>
    </w:p>
    <w:p>
      <w:r>
        <w:t>Der Beschwerdeführer kritisiert die in den Akten befindlichen, von der Vorinstanz bei der Entscheidfindung berücksichtigten Aussagen seiner früheren Arbeitgeberinnen. Dabei beschränkt er sich darauf, seine eigene Sicht der Dinge wiederzugeben. Inwiefern das von der Vorinstanz dazu Erwogene willkürlich (vgl. BGE 146 IV 88 E. 1.3.1 f.; 140 III 115 E. 2; je mit Hinweisen) sein oder sonstwie gegen Recht (vgl. Art. 95 lit. a-e BGG ) verstossen soll, legt er nicht dar. Darauf geht er erst gar nicht ein, sondern beschränkt sich vielmehr auf eine Schimpftirade gegen die früheren Arbeitgeberinnen wie auch die Hotellerie in der Schweiz ganz allgemein.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(siehe Urteil 8C_197/2023 vom 13. April 2023) auf die Erhebung von Gerichtskosten verzichtet werden. Damit ist das in der Beschwerdeschrift gestellte Gesuch um unentgeltliche Prozessführung gegenstandslos.</w:t>
      </w:r>
    </w:p>
    <w:p>
      <w:r>
        <w:t>Bei fortgesetzt ähnlicher Beschwerdeführung darf der Beschwerdeführer inskünftig aber nicht mehr mit dieser Rechtswohltat rechnen. Im Übrigen wird auf Art. 33 Abs. 1 und Art. 42 Abs. 6 und 7 BGG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